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7"/>
        <w:ind w:left="441" w:right="631" w:firstLine="0"/>
        <w:jc w:val="center"/>
        <w:rPr>
          <w:b/>
          <w:sz w:val="20"/>
        </w:rPr>
      </w:pPr>
      <w:r>
        <w:rPr>
          <w:b/>
          <w:sz w:val="20"/>
        </w:rPr>
        <w:t>Programma Regionale – PR FESR Veneto 2021–2027</w:t>
      </w:r>
    </w:p>
    <w:p>
      <w:pPr>
        <w:spacing w:before="0"/>
        <w:ind w:left="441" w:right="630" w:firstLine="0"/>
        <w:jc w:val="center"/>
        <w:rPr>
          <w:sz w:val="20"/>
        </w:rPr>
      </w:pPr>
      <w:r>
        <w:rPr>
          <w:b/>
          <w:sz w:val="20"/>
        </w:rPr>
        <w:t>Priorità 1</w:t>
      </w:r>
      <w:r>
        <w:rPr>
          <w:sz w:val="20"/>
        </w:rPr>
        <w:t>. Un’Europa più competitiva e intelligente attraverso la promozione di una trasformazione economica innovativa e intelligente e della connettività regionale alle TIC</w:t>
      </w:r>
    </w:p>
    <w:p>
      <w:pPr>
        <w:spacing w:before="0"/>
        <w:ind w:left="441" w:right="630" w:firstLine="0"/>
        <w:jc w:val="center"/>
        <w:rPr>
          <w:sz w:val="20"/>
        </w:rPr>
      </w:pPr>
      <w:r>
        <w:rPr>
          <w:b/>
          <w:sz w:val="20"/>
        </w:rPr>
        <w:t>Obiettivo specifico 1.2</w:t>
      </w:r>
      <w:r>
        <w:rPr>
          <w:sz w:val="20"/>
        </w:rPr>
        <w:t>. Permettere ai cittadini, alle imprese, alle organizzazioni di ricerca e alle autorità pubbliche di cogliere i vantaggi della digitalizzazione.</w:t>
      </w:r>
    </w:p>
    <w:p>
      <w:pPr>
        <w:pStyle w:val="BodyText"/>
      </w:pPr>
    </w:p>
    <w:p>
      <w:pPr>
        <w:pStyle w:val="Heading2"/>
        <w:ind w:right="807"/>
      </w:pPr>
      <w:r>
        <w:rPr/>
        <w:t>ALLEGATO A4</w:t>
      </w:r>
    </w:p>
    <w:p>
      <w:pPr>
        <w:pStyle w:val="BodyText"/>
        <w:rPr>
          <w:b/>
        </w:rPr>
      </w:pPr>
    </w:p>
    <w:p>
      <w:pPr>
        <w:spacing w:before="0"/>
        <w:ind w:left="201" w:right="807" w:firstLine="0"/>
        <w:jc w:val="center"/>
        <w:rPr>
          <w:b/>
          <w:sz w:val="22"/>
        </w:rPr>
      </w:pPr>
      <w:r>
        <w:rPr>
          <w:b/>
          <w:sz w:val="22"/>
        </w:rPr>
        <w:t>Strategia Integrata di Sviluppo Urbano Sostenibile (SISUS) dell’Area urbana di ………..</w:t>
      </w:r>
    </w:p>
    <w:p>
      <w:pPr>
        <w:pStyle w:val="BodyText"/>
        <w:rPr>
          <w:b/>
        </w:rPr>
      </w:pPr>
    </w:p>
    <w:p>
      <w:pPr>
        <w:pStyle w:val="BodyText"/>
        <w:ind w:left="441" w:right="635"/>
        <w:jc w:val="center"/>
      </w:pPr>
      <w:r>
        <w:rPr/>
        <w:t>Azione 1.2.2 “Pubblica amministrazione digitale”</w:t>
      </w:r>
    </w:p>
    <w:p>
      <w:pPr>
        <w:pStyle w:val="BodyText"/>
      </w:pPr>
    </w:p>
    <w:p>
      <w:pPr>
        <w:pStyle w:val="Heading2"/>
        <w:ind w:left="441"/>
      </w:pPr>
      <w:r>
        <w:rPr/>
        <w:t>Verifica del rispetto del principio DNSH</w:t>
      </w:r>
    </w:p>
    <w:p>
      <w:pPr>
        <w:pStyle w:val="BodyText"/>
        <w:rPr>
          <w:b/>
        </w:rPr>
      </w:pPr>
    </w:p>
    <w:p>
      <w:pPr>
        <w:tabs>
          <w:tab w:pos="2253" w:val="left" w:leader="none"/>
          <w:tab w:pos="5455" w:val="left" w:leader="none"/>
          <w:tab w:pos="8962" w:val="left" w:leader="none"/>
          <w:tab w:pos="9024" w:val="left" w:leader="none"/>
        </w:tabs>
        <w:spacing w:line="410" w:lineRule="auto" w:before="0"/>
        <w:ind w:left="100" w:right="813" w:firstLine="0"/>
        <w:jc w:val="both"/>
        <w:rPr>
          <w:sz w:val="22"/>
        </w:rPr>
      </w:pPr>
      <w:r>
        <w:rPr>
          <w:sz w:val="22"/>
        </w:rPr>
        <w:t>Il/La</w:t>
      </w:r>
      <w:r>
        <w:rPr>
          <w:spacing w:val="-1"/>
          <w:sz w:val="22"/>
        </w:rPr>
        <w:t> </w:t>
      </w:r>
      <w:r>
        <w:rPr>
          <w:sz w:val="22"/>
        </w:rPr>
        <w:t>sottoscritto/a</w:t>
      </w:r>
      <w:r>
        <w:rPr>
          <w:sz w:val="22"/>
          <w:u w:val="single"/>
        </w:rPr>
        <w:t> </w:t>
        <w:tab/>
        <w:tab/>
      </w:r>
      <w:r>
        <w:rPr>
          <w:sz w:val="22"/>
        </w:rPr>
        <w:t>nato/a</w:t>
      </w:r>
      <w:r>
        <w:rPr>
          <w:sz w:val="22"/>
          <w:u w:val="single"/>
        </w:rPr>
        <w:tab/>
        <w:tab/>
      </w:r>
      <w:r>
        <w:rPr>
          <w:sz w:val="22"/>
        </w:rPr>
        <w:t> il</w:t>
      </w:r>
      <w:r>
        <w:rPr>
          <w:sz w:val="22"/>
          <w:u w:val="single"/>
        </w:rPr>
        <w:t> </w:t>
        <w:tab/>
      </w:r>
      <w:r>
        <w:rPr>
          <w:sz w:val="22"/>
        </w:rPr>
        <w:t>in qualità di </w:t>
      </w:r>
      <w:r>
        <w:rPr>
          <w:sz w:val="22"/>
          <w:u w:val="single"/>
        </w:rPr>
        <w:t> </w:t>
        <w:tab/>
        <w:tab/>
        <w:tab/>
      </w:r>
      <w:r>
        <w:rPr>
          <w:sz w:val="22"/>
        </w:rPr>
        <w:t> della [azienda/ente] </w:t>
      </w:r>
      <w:r>
        <w:rPr>
          <w:sz w:val="22"/>
          <w:u w:val="single"/>
        </w:rPr>
        <w:t> </w:t>
        <w:tab/>
        <w:tab/>
        <w:tab/>
      </w:r>
      <w:r>
        <w:rPr>
          <w:w w:val="21"/>
          <w:sz w:val="22"/>
          <w:u w:val="single"/>
        </w:rPr>
        <w:t> </w:t>
      </w:r>
      <w:r>
        <w:rPr>
          <w:sz w:val="22"/>
        </w:rPr>
        <w:t> con sede legale in:</w:t>
      </w:r>
    </w:p>
    <w:p>
      <w:pPr>
        <w:tabs>
          <w:tab w:pos="4868" w:val="left" w:leader="none"/>
          <w:tab w:pos="5241" w:val="left" w:leader="none"/>
          <w:tab w:pos="9107" w:val="left" w:leader="none"/>
          <w:tab w:pos="9160" w:val="left" w:leader="none"/>
        </w:tabs>
        <w:spacing w:line="410" w:lineRule="auto" w:before="2"/>
        <w:ind w:left="100" w:right="677" w:firstLine="0"/>
        <w:jc w:val="both"/>
        <w:rPr>
          <w:sz w:val="22"/>
        </w:rPr>
      </w:pPr>
      <w:r>
        <w:rPr>
          <w:sz w:val="22"/>
        </w:rPr>
        <w:t>via/piazza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> Comune</w:t>
      </w:r>
      <w:r>
        <w:rPr>
          <w:sz w:val="22"/>
          <w:u w:val="single"/>
        </w:rPr>
        <w:t> </w:t>
        <w:tab/>
        <w:tab/>
      </w:r>
      <w:r>
        <w:rPr>
          <w:spacing w:val="-3"/>
          <w:sz w:val="22"/>
        </w:rPr>
        <w:t>Prov.</w:t>
      </w:r>
      <w:r>
        <w:rPr>
          <w:spacing w:val="-3"/>
          <w:sz w:val="22"/>
          <w:u w:val="single"/>
        </w:rPr>
        <w:tab/>
        <w:tab/>
      </w:r>
      <w:r>
        <w:rPr>
          <w:sz w:val="22"/>
        </w:rPr>
        <w:t> Codice fiscale</w:t>
      </w:r>
      <w:r>
        <w:rPr>
          <w:sz w:val="22"/>
          <w:u w:val="single"/>
        </w:rPr>
        <w:t> </w:t>
        <w:tab/>
      </w:r>
      <w:r>
        <w:rPr>
          <w:sz w:val="22"/>
        </w:rPr>
        <w:t>Partita</w:t>
      </w:r>
      <w:r>
        <w:rPr>
          <w:spacing w:val="1"/>
          <w:sz w:val="22"/>
        </w:rPr>
        <w:t> </w:t>
      </w:r>
      <w:r>
        <w:rPr>
          <w:spacing w:val="-10"/>
          <w:sz w:val="22"/>
        </w:rPr>
        <w:t>IVA </w:t>
      </w:r>
      <w:r>
        <w:rPr>
          <w:spacing w:val="-10"/>
          <w:sz w:val="22"/>
          <w:u w:val="single"/>
        </w:rPr>
        <w:t> </w:t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76" w:lineRule="auto" w:before="90"/>
        <w:ind w:left="100" w:right="718"/>
        <w:jc w:val="both"/>
      </w:pPr>
      <w:r>
        <w:rPr/>
        <w:t>consapevole della responsabilità e delle conseguenze civili e penali previste in caso di dichiarazioni mendaci e/o formazione od uso di atti falsi, richiamate dall’art. 76 del D.P.R. 28.12.2000, n. 445;</w:t>
      </w:r>
    </w:p>
    <w:p>
      <w:pPr>
        <w:pStyle w:val="BodyText"/>
        <w:spacing w:before="2"/>
        <w:rPr>
          <w:sz w:val="13"/>
        </w:rPr>
      </w:pPr>
    </w:p>
    <w:p>
      <w:pPr>
        <w:pStyle w:val="Heading1"/>
        <w:spacing w:before="88"/>
        <w:ind w:left="256"/>
      </w:pPr>
      <w:r>
        <w:rPr/>
        <w:t>Dichiara</w:t>
      </w:r>
    </w:p>
    <w:p>
      <w:pPr>
        <w:pStyle w:val="BodyText"/>
        <w:spacing w:before="1"/>
        <w:rPr>
          <w:b/>
          <w:sz w:val="25"/>
        </w:rPr>
      </w:pPr>
    </w:p>
    <w:p>
      <w:pPr>
        <w:spacing w:before="0"/>
        <w:ind w:left="197" w:right="807" w:firstLine="0"/>
        <w:jc w:val="center"/>
        <w:rPr>
          <w:b/>
          <w:sz w:val="28"/>
        </w:rPr>
      </w:pPr>
      <w:r>
        <w:rPr>
          <w:b/>
          <w:sz w:val="28"/>
        </w:rPr>
        <w:t>il rispetto del principio DNSH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line="276" w:lineRule="auto"/>
        <w:ind w:left="100" w:right="717"/>
        <w:jc w:val="both"/>
        <w:rPr>
          <w:sz w:val="22"/>
        </w:rPr>
      </w:pPr>
      <w:r>
        <w:rPr/>
        <w:pict>
          <v:shape style="position:absolute;margin-left:72pt;margin-top:70.036621pt;width:144pt;height:.1pt;mso-position-horizontal-relative:page;mso-position-vertical-relative:paragraph;z-index:-251658240;mso-wrap-distance-left:0;mso-wrap-distance-right:0" coordorigin="1440,1401" coordsize="2880,0" path="m1440,1401l4320,1401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t>Con il presente Bando il soggetto beneficiario intende impegnarsi a rispettare e conformarsi, secondo quanto previsto nell’art. 9, comma 4 del Regolamento (UE) 2021/1060, al principio “non arrecare un danno significativo” (DNSH) agli obiettivi ambientali individuati all’art. 9 del Regolamento UE n. 852/2020</w:t>
      </w:r>
      <w:r>
        <w:rPr>
          <w:position w:val="8"/>
          <w:sz w:val="13"/>
        </w:rPr>
        <w:t>1</w:t>
      </w:r>
      <w:r>
        <w:rPr>
          <w:sz w:val="22"/>
        </w:rPr>
        <w:t>.</w:t>
      </w:r>
    </w:p>
    <w:p>
      <w:pPr>
        <w:spacing w:before="69"/>
        <w:ind w:left="100" w:right="0" w:firstLine="0"/>
        <w:jc w:val="both"/>
        <w:rPr>
          <w:sz w:val="16"/>
        </w:rPr>
      </w:pPr>
      <w:r>
        <w:rPr>
          <w:position w:val="6"/>
          <w:sz w:val="9"/>
        </w:rPr>
        <w:t>1 </w:t>
      </w:r>
      <w:r>
        <w:rPr>
          <w:sz w:val="16"/>
        </w:rPr>
        <w:t>Ai sensi dell’art. 17 del Regolamento UE n. 852/2020, un’attività economica arreca un danno significativo: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0" w:after="0"/>
        <w:ind w:left="543" w:right="0" w:hanging="444"/>
        <w:jc w:val="both"/>
        <w:rPr>
          <w:sz w:val="16"/>
        </w:rPr>
      </w:pPr>
      <w:r>
        <w:rPr>
          <w:sz w:val="16"/>
        </w:rPr>
        <w:t>alla mitigazione dei cambiamenti climatici, se porta a significative emissioni di gas serra</w:t>
      </w:r>
      <w:r>
        <w:rPr>
          <w:spacing w:val="-11"/>
          <w:sz w:val="16"/>
        </w:rPr>
        <w:t> </w:t>
      </w:r>
      <w:r>
        <w:rPr>
          <w:sz w:val="16"/>
        </w:rPr>
        <w:t>(GHG);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76" w:lineRule="auto" w:before="28" w:after="0"/>
        <w:ind w:left="460" w:right="719" w:hanging="360"/>
        <w:jc w:val="both"/>
        <w:rPr>
          <w:sz w:val="16"/>
        </w:rPr>
      </w:pPr>
      <w:r>
        <w:rPr>
          <w:sz w:val="16"/>
        </w:rPr>
        <w:t>all’adattamento ai cambiamenti climatici, se determina un maggiore impatto negativo del clima attuale e futuro, sull’attività stessa o sulle persone, sulla natura o sui</w:t>
      </w:r>
      <w:r>
        <w:rPr>
          <w:spacing w:val="-4"/>
          <w:sz w:val="16"/>
        </w:rPr>
        <w:t> </w:t>
      </w:r>
      <w:r>
        <w:rPr>
          <w:sz w:val="16"/>
        </w:rPr>
        <w:t>beni;</w:t>
      </w:r>
    </w:p>
    <w:p>
      <w:pPr>
        <w:pStyle w:val="ListParagraph"/>
        <w:numPr>
          <w:ilvl w:val="0"/>
          <w:numId w:val="1"/>
        </w:numPr>
        <w:tabs>
          <w:tab w:pos="375" w:val="left" w:leader="none"/>
        </w:tabs>
        <w:spacing w:line="276" w:lineRule="auto" w:before="0" w:after="0"/>
        <w:ind w:left="460" w:right="709" w:hanging="360"/>
        <w:jc w:val="both"/>
        <w:rPr>
          <w:sz w:val="16"/>
        </w:rPr>
      </w:pPr>
      <w:r>
        <w:rPr>
          <w:sz w:val="16"/>
        </w:rPr>
        <w:t>all’uso</w:t>
      </w:r>
      <w:r>
        <w:rPr>
          <w:spacing w:val="-2"/>
          <w:sz w:val="16"/>
        </w:rPr>
        <w:t> </w:t>
      </w:r>
      <w:r>
        <w:rPr>
          <w:sz w:val="16"/>
        </w:rPr>
        <w:t>sostenibile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alla</w:t>
      </w:r>
      <w:r>
        <w:rPr>
          <w:spacing w:val="-2"/>
          <w:sz w:val="16"/>
        </w:rPr>
        <w:t> </w:t>
      </w:r>
      <w:r>
        <w:rPr>
          <w:sz w:val="16"/>
        </w:rPr>
        <w:t>protezione</w:t>
      </w:r>
      <w:r>
        <w:rPr>
          <w:spacing w:val="-2"/>
          <w:sz w:val="16"/>
        </w:rPr>
        <w:t> </w:t>
      </w:r>
      <w:r>
        <w:rPr>
          <w:sz w:val="16"/>
        </w:rPr>
        <w:t>delle</w:t>
      </w:r>
      <w:r>
        <w:rPr>
          <w:spacing w:val="-2"/>
          <w:sz w:val="16"/>
        </w:rPr>
        <w:t> </w:t>
      </w:r>
      <w:r>
        <w:rPr>
          <w:sz w:val="16"/>
        </w:rPr>
        <w:t>risorse</w:t>
      </w:r>
      <w:r>
        <w:rPr>
          <w:spacing w:val="-2"/>
          <w:sz w:val="16"/>
        </w:rPr>
        <w:t> </w:t>
      </w:r>
      <w:r>
        <w:rPr>
          <w:sz w:val="16"/>
        </w:rPr>
        <w:t>idriche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marine,</w:t>
      </w:r>
      <w:r>
        <w:rPr>
          <w:spacing w:val="-1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è</w:t>
      </w:r>
      <w:r>
        <w:rPr>
          <w:spacing w:val="-2"/>
          <w:sz w:val="16"/>
        </w:rPr>
        <w:t> </w:t>
      </w:r>
      <w:r>
        <w:rPr>
          <w:sz w:val="16"/>
        </w:rPr>
        <w:t>dannosa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1"/>
          <w:sz w:val="16"/>
        </w:rPr>
        <w:t> </w:t>
      </w:r>
      <w:r>
        <w:rPr>
          <w:sz w:val="16"/>
        </w:rPr>
        <w:t>il</w:t>
      </w:r>
      <w:r>
        <w:rPr>
          <w:spacing w:val="-1"/>
          <w:sz w:val="16"/>
        </w:rPr>
        <w:t> </w:t>
      </w:r>
      <w:r>
        <w:rPr>
          <w:sz w:val="16"/>
        </w:rPr>
        <w:t>buono</w:t>
      </w:r>
      <w:r>
        <w:rPr>
          <w:spacing w:val="-1"/>
          <w:sz w:val="16"/>
        </w:rPr>
        <w:t> </w:t>
      </w:r>
      <w:r>
        <w:rPr>
          <w:sz w:val="16"/>
        </w:rPr>
        <w:t>stato</w:t>
      </w:r>
      <w:r>
        <w:rPr>
          <w:spacing w:val="-1"/>
          <w:sz w:val="16"/>
        </w:rPr>
        <w:t> </w:t>
      </w:r>
      <w:r>
        <w:rPr>
          <w:sz w:val="16"/>
        </w:rPr>
        <w:t>dei</w:t>
      </w:r>
      <w:r>
        <w:rPr>
          <w:spacing w:val="-1"/>
          <w:sz w:val="16"/>
        </w:rPr>
        <w:t> </w:t>
      </w:r>
      <w:r>
        <w:rPr>
          <w:sz w:val="16"/>
        </w:rPr>
        <w:t>corpi</w:t>
      </w:r>
      <w:r>
        <w:rPr>
          <w:spacing w:val="-1"/>
          <w:sz w:val="16"/>
        </w:rPr>
        <w:t> </w:t>
      </w:r>
      <w:r>
        <w:rPr>
          <w:sz w:val="16"/>
        </w:rPr>
        <w:t>idrici</w:t>
      </w:r>
      <w:r>
        <w:rPr>
          <w:spacing w:val="-1"/>
          <w:sz w:val="16"/>
        </w:rPr>
        <w:t> </w:t>
      </w:r>
      <w:r>
        <w:rPr>
          <w:sz w:val="16"/>
        </w:rPr>
        <w:t>(superficiali,</w:t>
      </w:r>
      <w:r>
        <w:rPr>
          <w:spacing w:val="-1"/>
          <w:sz w:val="16"/>
        </w:rPr>
        <w:t> </w:t>
      </w:r>
      <w:r>
        <w:rPr>
          <w:sz w:val="16"/>
        </w:rPr>
        <w:t>sotterranei o marini) determinandone il loro deterioramento qualitativo o la riduzione del potenziale</w:t>
      </w:r>
      <w:r>
        <w:rPr>
          <w:spacing w:val="-8"/>
          <w:sz w:val="16"/>
        </w:rPr>
        <w:t> </w:t>
      </w:r>
      <w:r>
        <w:rPr>
          <w:sz w:val="16"/>
        </w:rPr>
        <w:t>ecologico;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60" w:right="709" w:hanging="360"/>
        <w:jc w:val="both"/>
        <w:rPr>
          <w:sz w:val="16"/>
        </w:rPr>
      </w:pPr>
      <w:r>
        <w:rPr>
          <w:sz w:val="16"/>
        </w:rPr>
        <w:t>all’economia</w:t>
      </w:r>
      <w:r>
        <w:rPr>
          <w:spacing w:val="-3"/>
          <w:sz w:val="16"/>
        </w:rPr>
        <w:t> </w:t>
      </w:r>
      <w:r>
        <w:rPr>
          <w:sz w:val="16"/>
        </w:rPr>
        <w:t>circolare,</w:t>
      </w:r>
      <w:r>
        <w:rPr>
          <w:spacing w:val="-2"/>
          <w:sz w:val="16"/>
        </w:rPr>
        <w:t> </w:t>
      </w:r>
      <w:r>
        <w:rPr>
          <w:sz w:val="16"/>
        </w:rPr>
        <w:t>inclusa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prevenzione,</w:t>
      </w:r>
      <w:r>
        <w:rPr>
          <w:spacing w:val="-2"/>
          <w:sz w:val="16"/>
        </w:rPr>
        <w:t> </w:t>
      </w:r>
      <w:r>
        <w:rPr>
          <w:sz w:val="16"/>
        </w:rPr>
        <w:t>il</w:t>
      </w:r>
      <w:r>
        <w:rPr>
          <w:spacing w:val="-2"/>
          <w:sz w:val="16"/>
        </w:rPr>
        <w:t> </w:t>
      </w:r>
      <w:r>
        <w:rPr>
          <w:sz w:val="16"/>
        </w:rPr>
        <w:t>riutilizzo</w:t>
      </w:r>
      <w:r>
        <w:rPr>
          <w:spacing w:val="-1"/>
          <w:sz w:val="16"/>
        </w:rPr>
        <w:t> </w:t>
      </w:r>
      <w:r>
        <w:rPr>
          <w:sz w:val="16"/>
        </w:rPr>
        <w:t>ed</w:t>
      </w:r>
      <w:r>
        <w:rPr>
          <w:spacing w:val="-2"/>
          <w:sz w:val="16"/>
        </w:rPr>
        <w:t> </w:t>
      </w:r>
      <w:r>
        <w:rPr>
          <w:sz w:val="16"/>
        </w:rPr>
        <w:t>il</w:t>
      </w:r>
      <w:r>
        <w:rPr>
          <w:spacing w:val="-2"/>
          <w:sz w:val="16"/>
        </w:rPr>
        <w:t> </w:t>
      </w:r>
      <w:r>
        <w:rPr>
          <w:sz w:val="16"/>
        </w:rPr>
        <w:t>riciclaggio</w:t>
      </w:r>
      <w:r>
        <w:rPr>
          <w:spacing w:val="-1"/>
          <w:sz w:val="16"/>
        </w:rPr>
        <w:t> </w:t>
      </w:r>
      <w:r>
        <w:rPr>
          <w:sz w:val="16"/>
        </w:rPr>
        <w:t>dei</w:t>
      </w:r>
      <w:r>
        <w:rPr>
          <w:spacing w:val="-2"/>
          <w:sz w:val="16"/>
        </w:rPr>
        <w:t> </w:t>
      </w:r>
      <w:r>
        <w:rPr>
          <w:sz w:val="16"/>
        </w:rPr>
        <w:t>rifiuti,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3"/>
          <w:sz w:val="16"/>
        </w:rPr>
        <w:t> </w:t>
      </w:r>
      <w:r>
        <w:rPr>
          <w:sz w:val="16"/>
        </w:rPr>
        <w:t>porta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significative</w:t>
      </w:r>
      <w:r>
        <w:rPr>
          <w:spacing w:val="-3"/>
          <w:sz w:val="16"/>
        </w:rPr>
        <w:t> </w:t>
      </w:r>
      <w:r>
        <w:rPr>
          <w:sz w:val="16"/>
        </w:rPr>
        <w:t>inefficienze</w:t>
      </w:r>
      <w:r>
        <w:rPr>
          <w:spacing w:val="-2"/>
          <w:sz w:val="16"/>
        </w:rPr>
        <w:t> </w:t>
      </w:r>
      <w:r>
        <w:rPr>
          <w:sz w:val="16"/>
        </w:rPr>
        <w:t>nell’utilizzo</w:t>
      </w:r>
      <w:r>
        <w:rPr>
          <w:spacing w:val="-2"/>
          <w:sz w:val="16"/>
        </w:rPr>
        <w:t> </w:t>
      </w:r>
      <w:r>
        <w:rPr>
          <w:sz w:val="16"/>
        </w:rPr>
        <w:t>di materiali recuperati o riciclati, ad incrementi nell’uso diretto o indiretto di risorse naturali, all’incremento significativo di rifiuti, al loro incenerimento o smaltimento, causando danni ambientali significativi a lungo</w:t>
      </w:r>
      <w:r>
        <w:rPr>
          <w:spacing w:val="-4"/>
          <w:sz w:val="16"/>
        </w:rPr>
        <w:t> </w:t>
      </w:r>
      <w:r>
        <w:rPr>
          <w:sz w:val="16"/>
        </w:rPr>
        <w:t>termine;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0" w:after="0"/>
        <w:ind w:left="424" w:right="0" w:hanging="325"/>
        <w:jc w:val="both"/>
        <w:rPr>
          <w:sz w:val="16"/>
        </w:rPr>
      </w:pPr>
      <w:r>
        <w:rPr>
          <w:sz w:val="16"/>
        </w:rPr>
        <w:t>alla prevenzione e riduzione dell’inquinamento, se determina un aumento delle emissioni di inquinanti nell’aria, nell’acqua o nel</w:t>
      </w:r>
      <w:r>
        <w:rPr>
          <w:spacing w:val="-21"/>
          <w:sz w:val="16"/>
        </w:rPr>
        <w:t> </w:t>
      </w:r>
      <w:r>
        <w:rPr>
          <w:sz w:val="16"/>
        </w:rPr>
        <w:t>suolo;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76" w:lineRule="auto" w:before="27" w:after="0"/>
        <w:ind w:left="460" w:right="716" w:hanging="360"/>
        <w:jc w:val="both"/>
        <w:rPr>
          <w:sz w:val="16"/>
        </w:rPr>
      </w:pPr>
      <w:r>
        <w:rPr>
          <w:sz w:val="16"/>
        </w:rPr>
        <w:t>alla protezione e al ripristino di biodiversità e degli ecosistemi, se è dannosa per le buone condizioni e resilienza degli ecosistemi o per lo stato di conservazione degli habitat e delle specie, comprese quelle di interesse per l’Unione</w:t>
      </w:r>
      <w:r>
        <w:rPr>
          <w:spacing w:val="-13"/>
          <w:sz w:val="16"/>
        </w:rPr>
        <w:t> </w:t>
      </w:r>
      <w:r>
        <w:rPr>
          <w:sz w:val="16"/>
        </w:rPr>
        <w:t>europea;</w:t>
      </w:r>
    </w:p>
    <w:p>
      <w:pPr>
        <w:spacing w:after="0" w:line="276" w:lineRule="auto"/>
        <w:jc w:val="both"/>
        <w:rPr>
          <w:sz w:val="16"/>
        </w:rPr>
        <w:sectPr>
          <w:type w:val="continuous"/>
          <w:pgSz w:w="11920" w:h="16840"/>
          <w:pgMar w:top="1600" w:bottom="280" w:left="1340" w:right="740"/>
        </w:sectPr>
      </w:pPr>
    </w:p>
    <w:p>
      <w:pPr>
        <w:pStyle w:val="BodyText"/>
        <w:spacing w:before="87"/>
        <w:ind w:left="100"/>
        <w:jc w:val="both"/>
      </w:pPr>
      <w:r>
        <w:rPr/>
        <w:t>Il rispetto del principio DNSH sarà verificato in due fasi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Fase di presentazione della domanda di sostegno: dichiarazione</w:t>
      </w:r>
      <w:r>
        <w:rPr>
          <w:spacing w:val="-3"/>
          <w:sz w:val="24"/>
        </w:rPr>
        <w:t> </w:t>
      </w:r>
      <w:r>
        <w:rPr>
          <w:sz w:val="24"/>
        </w:rPr>
        <w:t>d’intenti;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76" w:lineRule="auto" w:before="41" w:after="0"/>
        <w:ind w:left="820" w:right="726" w:hanging="360"/>
        <w:jc w:val="left"/>
        <w:rPr>
          <w:sz w:val="24"/>
        </w:rPr>
      </w:pPr>
      <w:r>
        <w:rPr>
          <w:sz w:val="24"/>
        </w:rPr>
        <w:t>Fase di presentazione della domanda di pagamento (acconto e saldo): presentazione della documentazione</w:t>
      </w:r>
      <w:r>
        <w:rPr>
          <w:spacing w:val="-2"/>
          <w:sz w:val="24"/>
        </w:rPr>
        <w:t> </w:t>
      </w:r>
      <w:r>
        <w:rPr>
          <w:sz w:val="24"/>
        </w:rPr>
        <w:t>probatoria.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6" w:lineRule="auto"/>
        <w:ind w:left="100" w:right="717"/>
        <w:jc w:val="both"/>
      </w:pPr>
      <w:r>
        <w:rPr/>
        <w:t>In particolare, dall’analisi presente nel Rapporto Ambientale FESR Veneto 2021/2027, approvato con DGR 77 del 1 febbraio 2022, l’Azione 1.2.2 è risultata conforme a tutti gli obiettivi del DNSH (VAS paragrafo 5.9 pag. 232).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6" w:lineRule="auto"/>
        <w:ind w:left="100" w:right="715"/>
        <w:jc w:val="both"/>
      </w:pPr>
      <w:r>
        <w:rPr/>
        <w:t>In riferimento al principio “non arrecare un danno significativo” (DNSH), la Comunicazione della Commissione CE [Bruxelles, 12.2.2021 C(2021) 1054 final] – Orientamenti tecnici sull’applicazione del principio “non arrecare un danno significativo”(di seguito Comunicazione) e la nota EGESIF_21-0025-00 27/09/2021 “COMMISSION EXPLANATORY NOTE” (di seguito Nota EGESIF) hanno fornito alcuni elementi di chiarimento circa l’applicazione del principio anche nell’ambito della Politica di coesione.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6" w:lineRule="auto"/>
        <w:ind w:left="100" w:right="716"/>
        <w:jc w:val="both"/>
      </w:pPr>
      <w:r>
        <w:rPr/>
        <w:t>Nella Nota EGESIF è chiarito come il principio vada interpretato nel contesto dell’Art. 17 del Regolamento sulla Tassonomia (852/2020), che definisce ciò che rappresenta un “danno significativo” in relazione a sei obiettivi ambientali coperti dal Regolamento della Tassonomia:</w:t>
      </w:r>
    </w:p>
    <w:p>
      <w:pPr>
        <w:pStyle w:val="ListParagraph"/>
        <w:numPr>
          <w:ilvl w:val="2"/>
          <w:numId w:val="1"/>
        </w:numPr>
        <w:tabs>
          <w:tab w:pos="1160" w:val="left" w:leader="none"/>
        </w:tabs>
        <w:spacing w:line="240" w:lineRule="auto" w:before="120" w:after="0"/>
        <w:ind w:left="820" w:right="722" w:firstLine="0"/>
        <w:jc w:val="both"/>
        <w:rPr>
          <w:sz w:val="24"/>
        </w:rPr>
      </w:pPr>
      <w:r>
        <w:rPr>
          <w:sz w:val="24"/>
        </w:rPr>
        <w:t>un’attività è considerata arrecare danno significativo alla mitigazione </w:t>
      </w:r>
      <w:r>
        <w:rPr>
          <w:spacing w:val="-5"/>
          <w:sz w:val="24"/>
        </w:rPr>
        <w:t>del </w:t>
      </w:r>
      <w:r>
        <w:rPr>
          <w:sz w:val="24"/>
        </w:rPr>
        <w:t>cambiamento climatico se determina un’emissione significativa di gas a effetto</w:t>
      </w:r>
      <w:r>
        <w:rPr>
          <w:spacing w:val="-9"/>
          <w:sz w:val="24"/>
        </w:rPr>
        <w:t> </w:t>
      </w:r>
      <w:r>
        <w:rPr>
          <w:sz w:val="24"/>
        </w:rPr>
        <w:t>serra;</w:t>
      </w:r>
    </w:p>
    <w:p>
      <w:pPr>
        <w:pStyle w:val="ListParagraph"/>
        <w:numPr>
          <w:ilvl w:val="2"/>
          <w:numId w:val="1"/>
        </w:numPr>
        <w:tabs>
          <w:tab w:pos="1190" w:val="left" w:leader="none"/>
        </w:tabs>
        <w:spacing w:line="240" w:lineRule="auto" w:before="0" w:after="0"/>
        <w:ind w:left="820" w:right="719" w:firstLine="0"/>
        <w:jc w:val="both"/>
        <w:rPr>
          <w:sz w:val="24"/>
        </w:rPr>
      </w:pPr>
      <w:r>
        <w:rPr>
          <w:sz w:val="24"/>
        </w:rPr>
        <w:t>un’attività è considerata arrecare danno significativo all’adattamento ai cambiamenti climatici se determina un incremento degli impatti attuali e futuri </w:t>
      </w:r>
      <w:r>
        <w:rPr>
          <w:spacing w:val="-5"/>
          <w:sz w:val="24"/>
        </w:rPr>
        <w:t>del </w:t>
      </w:r>
      <w:r>
        <w:rPr>
          <w:sz w:val="24"/>
        </w:rPr>
        <w:t>clima, sull’attività stessa, sulla natura o sulle</w:t>
      </w:r>
      <w:r>
        <w:rPr>
          <w:spacing w:val="-2"/>
          <w:sz w:val="24"/>
        </w:rPr>
        <w:t> </w:t>
      </w:r>
      <w:r>
        <w:rPr>
          <w:sz w:val="24"/>
        </w:rPr>
        <w:t>persone;</w:t>
      </w:r>
    </w:p>
    <w:p>
      <w:pPr>
        <w:pStyle w:val="ListParagraph"/>
        <w:numPr>
          <w:ilvl w:val="2"/>
          <w:numId w:val="1"/>
        </w:numPr>
        <w:tabs>
          <w:tab w:pos="1100" w:val="left" w:leader="none"/>
        </w:tabs>
        <w:spacing w:line="240" w:lineRule="auto" w:before="0" w:after="0"/>
        <w:ind w:left="820" w:right="717" w:firstLine="0"/>
        <w:jc w:val="both"/>
        <w:rPr>
          <w:sz w:val="24"/>
        </w:rPr>
      </w:pPr>
      <w:r>
        <w:rPr>
          <w:sz w:val="24"/>
        </w:rPr>
        <w:t>un’attività è considerata arrecare danno significativo all’uso sostenibile e alla protezione delle acque e delle risorse marine se compromette il buono stato o il buon potenziale ecologico dei corpi acquatici, incluse le acque superficiali e sotterranee o </w:t>
      </w:r>
      <w:r>
        <w:rPr>
          <w:spacing w:val="-7"/>
          <w:sz w:val="24"/>
        </w:rPr>
        <w:t>il </w:t>
      </w:r>
      <w:r>
        <w:rPr>
          <w:sz w:val="24"/>
        </w:rPr>
        <w:t>buono stato delle acque</w:t>
      </w:r>
      <w:r>
        <w:rPr>
          <w:spacing w:val="-1"/>
          <w:sz w:val="24"/>
        </w:rPr>
        <w:t> </w:t>
      </w:r>
      <w:r>
        <w:rPr>
          <w:sz w:val="24"/>
        </w:rPr>
        <w:t>marine;</w:t>
      </w:r>
    </w:p>
    <w:p>
      <w:pPr>
        <w:pStyle w:val="ListParagraph"/>
        <w:numPr>
          <w:ilvl w:val="2"/>
          <w:numId w:val="1"/>
        </w:numPr>
        <w:tabs>
          <w:tab w:pos="1040" w:val="left" w:leader="none"/>
        </w:tabs>
        <w:spacing w:line="240" w:lineRule="auto" w:before="0" w:after="0"/>
        <w:ind w:left="820" w:right="714" w:firstLine="0"/>
        <w:jc w:val="both"/>
        <w:rPr>
          <w:sz w:val="24"/>
        </w:rPr>
      </w:pPr>
      <w:r>
        <w:rPr>
          <w:sz w:val="24"/>
        </w:rPr>
        <w:t>un’attività è considerata arrecare danno significativo all’economia circolare, inclusa la prevenzione della produzione dei rifiuti e il riciclaggio se comporta significative inefficienze nell’uso dei materiali e nell’uso diretto o indiretto delle risorse naturali o se incrementa in modo significativo la produzione, termovalorizzazione </w:t>
      </w:r>
      <w:r>
        <w:rPr>
          <w:spacing w:val="-12"/>
          <w:sz w:val="24"/>
        </w:rPr>
        <w:t>o </w:t>
      </w:r>
      <w:r>
        <w:rPr>
          <w:sz w:val="24"/>
        </w:rPr>
        <w:t>collocazione in discarica dei rifiuti o se la collocazione in discarica possa causare rischi ambientali significativi e a lungo</w:t>
      </w:r>
      <w:r>
        <w:rPr>
          <w:spacing w:val="-2"/>
          <w:sz w:val="24"/>
        </w:rPr>
        <w:t> </w:t>
      </w:r>
      <w:r>
        <w:rPr>
          <w:sz w:val="24"/>
        </w:rPr>
        <w:t>termine;</w:t>
      </w:r>
    </w:p>
    <w:p>
      <w:pPr>
        <w:pStyle w:val="ListParagraph"/>
        <w:numPr>
          <w:ilvl w:val="2"/>
          <w:numId w:val="1"/>
        </w:numPr>
        <w:tabs>
          <w:tab w:pos="1040" w:val="left" w:leader="none"/>
        </w:tabs>
        <w:spacing w:line="240" w:lineRule="auto" w:before="0" w:after="0"/>
        <w:ind w:left="820" w:right="714" w:firstLine="0"/>
        <w:jc w:val="both"/>
        <w:rPr>
          <w:sz w:val="24"/>
        </w:rPr>
      </w:pPr>
      <w:r>
        <w:rPr>
          <w:sz w:val="24"/>
        </w:rPr>
        <w:t>un’attività è considerata arrecare danno significativo alla prevenzione e al controllo dell’inquinamento se determina un incremento significativo di emissioni in aria, acqua o nel suolo;</w:t>
      </w:r>
    </w:p>
    <w:p>
      <w:pPr>
        <w:pStyle w:val="ListParagraph"/>
        <w:numPr>
          <w:ilvl w:val="2"/>
          <w:numId w:val="1"/>
        </w:numPr>
        <w:tabs>
          <w:tab w:pos="1085" w:val="left" w:leader="none"/>
        </w:tabs>
        <w:spacing w:line="240" w:lineRule="auto" w:before="0" w:after="0"/>
        <w:ind w:left="820" w:right="717" w:firstLine="0"/>
        <w:jc w:val="both"/>
        <w:rPr>
          <w:sz w:val="24"/>
        </w:rPr>
      </w:pPr>
      <w:r>
        <w:rPr>
          <w:sz w:val="24"/>
        </w:rPr>
        <w:t>un’attività è considerata arrecare danno significativo alla protezione e ripristino della biodiversità e degli ecosistemi se è significativamente dannosa per le </w:t>
      </w:r>
      <w:r>
        <w:rPr>
          <w:spacing w:val="-3"/>
          <w:sz w:val="24"/>
        </w:rPr>
        <w:t>buone </w:t>
      </w:r>
      <w:r>
        <w:rPr>
          <w:sz w:val="24"/>
        </w:rPr>
        <w:t>condizioni e la resilienza degli ecosistemi o dannoso per lo stato di </w:t>
      </w:r>
      <w:r>
        <w:rPr>
          <w:spacing w:val="-2"/>
          <w:sz w:val="24"/>
        </w:rPr>
        <w:t>conservazione </w:t>
      </w:r>
      <w:r>
        <w:rPr>
          <w:sz w:val="24"/>
        </w:rPr>
        <w:t>delle specie e degli habitat, inclusi quelli di interesse</w:t>
      </w:r>
      <w:r>
        <w:rPr>
          <w:spacing w:val="-3"/>
          <w:sz w:val="24"/>
        </w:rPr>
        <w:t> </w:t>
      </w:r>
      <w:r>
        <w:rPr>
          <w:sz w:val="24"/>
        </w:rPr>
        <w:t>comunitario.</w:t>
      </w:r>
    </w:p>
    <w:p>
      <w:pPr>
        <w:spacing w:after="0" w:line="240" w:lineRule="auto"/>
        <w:jc w:val="both"/>
        <w:rPr>
          <w:sz w:val="24"/>
        </w:rPr>
        <w:sectPr>
          <w:pgSz w:w="11920" w:h="16840"/>
          <w:pgMar w:top="1600" w:bottom="280" w:left="1340" w:right="74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0"/>
        <w:gridCol w:w="7240"/>
      </w:tblGrid>
      <w:tr>
        <w:trPr>
          <w:trHeight w:val="3080" w:hRule="atLeast"/>
        </w:trPr>
        <w:tc>
          <w:tcPr>
            <w:tcW w:w="230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both"/>
              <w:rPr>
                <w:sz w:val="24"/>
              </w:rPr>
            </w:pPr>
            <w:r>
              <w:rPr>
                <w:sz w:val="24"/>
              </w:rPr>
              <w:t>Fase di presentazione della domanda di sostegno</w:t>
            </w:r>
          </w:p>
        </w:tc>
        <w:tc>
          <w:tcPr>
            <w:tcW w:w="7240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824" w:right="83" w:hanging="327"/>
              <w:jc w:val="both"/>
              <w:rPr>
                <w:sz w:val="24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1"/>
                <w:sz w:val="20"/>
              </w:rPr>
              <w:t> </w:t>
            </w:r>
            <w:r>
              <w:rPr>
                <w:spacing w:val="23"/>
                <w:position w:val="1"/>
                <w:sz w:val="20"/>
              </w:rPr>
              <w:t> </w:t>
            </w:r>
            <w:r>
              <w:rPr>
                <w:position w:val="1"/>
                <w:sz w:val="24"/>
              </w:rPr>
              <w:t>il soggetto richiedente si impegna al rispetto del principio DNSH, </w:t>
            </w:r>
            <w:r>
              <w:rPr>
                <w:sz w:val="24"/>
              </w:rPr>
              <w:t>conformemente alle disposizioni del bando e alle Linee Guida approvate con Decreto della Direzione Programmazione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Unitaria</w:t>
            </w:r>
          </w:p>
          <w:p>
            <w:pPr>
              <w:pStyle w:val="TableParagraph"/>
              <w:ind w:left="824" w:right="79"/>
              <w:jc w:val="both"/>
              <w:rPr>
                <w:sz w:val="24"/>
              </w:rPr>
            </w:pPr>
            <w:r>
              <w:rPr>
                <w:sz w:val="24"/>
              </w:rPr>
              <w:t>n. 17 del 12/02/2025, e si impegna a fornire idonea perizia asseverata o documentazione atta a comprovare il rispetto dei principi e delle prescrizioni ambientali pertinenti, come individuati nei contenuti delle schede DNSH riferite alla misura M1C1I1.2I1.2 del PNRR, in coerenza con quanto previsto dall’articolo 5, comma 7 del bando in fase di pagamento.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0"/>
        <w:gridCol w:w="7280"/>
      </w:tblGrid>
      <w:tr>
        <w:trPr>
          <w:trHeight w:val="5220" w:hRule="atLeast"/>
        </w:trPr>
        <w:tc>
          <w:tcPr>
            <w:tcW w:w="2320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76" w:lineRule="auto"/>
              <w:ind w:left="94" w:right="92"/>
              <w:jc w:val="both"/>
              <w:rPr>
                <w:sz w:val="24"/>
              </w:rPr>
            </w:pPr>
            <w:r>
              <w:rPr>
                <w:sz w:val="24"/>
              </w:rPr>
              <w:t>Fase di presentazione della domanda di pagamento (acconto e saldo)</w:t>
            </w:r>
          </w:p>
        </w:tc>
        <w:tc>
          <w:tcPr>
            <w:tcW w:w="7280" w:type="dxa"/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Il soggetto beneficiario dichiara che:</w:t>
            </w:r>
          </w:p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spacing w:line="276" w:lineRule="auto"/>
              <w:ind w:left="804" w:right="83" w:hanging="327"/>
              <w:jc w:val="both"/>
              <w:rPr>
                <w:sz w:val="24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1"/>
                <w:sz w:val="20"/>
              </w:rPr>
              <w:t> </w:t>
            </w:r>
            <w:r>
              <w:rPr>
                <w:spacing w:val="23"/>
                <w:position w:val="1"/>
                <w:sz w:val="20"/>
              </w:rPr>
              <w:t> </w:t>
            </w:r>
            <w:r>
              <w:rPr>
                <w:position w:val="1"/>
                <w:sz w:val="24"/>
              </w:rPr>
              <w:t>È stato verificato il rispetto del principio “DNSH” come definito </w:t>
            </w:r>
            <w:r>
              <w:rPr>
                <w:sz w:val="24"/>
              </w:rPr>
              <w:t>dalle Linee Guida approvate con Decreto della Direzione Programmazione Unitaria n. 17 del 12/02/2025 (allegare perizia asseverata che attesti il rispetto del principio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“DNSH”).</w:t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539"/>
              <w:rPr>
                <w:sz w:val="24"/>
              </w:rPr>
            </w:pPr>
            <w:r>
              <w:rPr>
                <w:sz w:val="24"/>
              </w:rPr>
              <w:t>Oppure</w:t>
            </w:r>
          </w:p>
          <w:p>
            <w:pPr>
              <w:pStyle w:val="TableParagraph"/>
              <w:spacing w:before="8"/>
              <w:rPr>
                <w:sz w:val="33"/>
              </w:rPr>
            </w:pPr>
          </w:p>
          <w:p>
            <w:pPr>
              <w:pStyle w:val="TableParagraph"/>
              <w:spacing w:line="276" w:lineRule="auto"/>
              <w:ind w:left="804" w:right="82" w:hanging="327"/>
              <w:jc w:val="both"/>
              <w:rPr>
                <w:sz w:val="24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position w:val="1"/>
                <w:sz w:val="20"/>
              </w:rPr>
              <w:t> </w:t>
            </w:r>
            <w:r>
              <w:rPr>
                <w:spacing w:val="23"/>
                <w:position w:val="1"/>
                <w:sz w:val="20"/>
              </w:rPr>
              <w:t> </w:t>
            </w:r>
            <w:r>
              <w:rPr>
                <w:position w:val="1"/>
                <w:sz w:val="24"/>
              </w:rPr>
              <w:t>È stata fornita documentazione idonea a comprovare il rispetto </w:t>
            </w:r>
            <w:r>
              <w:rPr>
                <w:sz w:val="24"/>
              </w:rPr>
              <w:t>dei principi e delle prescrizioni ambientali pertinenti, come individuati nei contenuti delle schede DNSH riferite alla </w:t>
            </w:r>
            <w:r>
              <w:rPr>
                <w:spacing w:val="-3"/>
                <w:sz w:val="24"/>
              </w:rPr>
              <w:t>misura </w:t>
            </w:r>
            <w:r>
              <w:rPr>
                <w:sz w:val="24"/>
              </w:rPr>
              <w:t>M1C1I1.2I1.2 del PNRR, in coerenza con quanto previsto dall’articolo 5, comma 7 del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bando.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tabs>
          <w:tab w:pos="3269" w:val="left" w:leader="none"/>
          <w:tab w:pos="6032" w:val="left" w:leader="none"/>
        </w:tabs>
        <w:spacing w:before="90"/>
        <w:ind w:left="100"/>
      </w:pPr>
      <w:r>
        <w:rPr/>
        <w:t>Luogo e data</w:t>
      </w:r>
      <w:r>
        <w:rPr>
          <w:u w:val="single"/>
        </w:rPr>
        <w:t> </w:t>
        <w:tab/>
      </w:r>
      <w:r>
        <w:rPr/>
        <w:tab/>
        <w:t>Firma del dichiarante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320.512787pt;margin-top:8.988714pt;width:180pt;height:.1pt;mso-position-horizontal-relative:page;mso-position-vertical-relative:paragraph;z-index:-251657216;mso-wrap-distance-left:0;mso-wrap-distance-right:0" coordorigin="6410,180" coordsize="3600,0" path="m6410,180l10010,18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0"/>
        </w:rPr>
      </w:pPr>
    </w:p>
    <w:p>
      <w:pPr>
        <w:spacing w:before="90"/>
        <w:ind w:left="2931" w:right="0" w:firstLine="0"/>
        <w:jc w:val="left"/>
        <w:rPr>
          <w:i/>
          <w:sz w:val="24"/>
        </w:rPr>
      </w:pPr>
      <w:r>
        <w:rPr>
          <w:i/>
          <w:sz w:val="24"/>
        </w:rPr>
        <w:t>Il presente documento deve essere sottoscritto con firma digitale</w:t>
      </w:r>
    </w:p>
    <w:sectPr>
      <w:pgSz w:w="11920" w:h="16840"/>
      <w:pgMar w:top="1600" w:bottom="280" w:left="13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543" w:hanging="44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6"/>
        <w:szCs w:val="16"/>
        <w:lang w:val="it-IT" w:eastAsia="it-IT" w:bidi="it-IT"/>
      </w:rPr>
    </w:lvl>
    <w:lvl w:ilvl="1">
      <w:start w:val="0"/>
      <w:numFmt w:val="bullet"/>
      <w:lvlText w:val="-"/>
      <w:lvlJc w:val="left"/>
      <w:pPr>
        <w:ind w:left="820" w:hanging="360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t-IT" w:eastAsia="it-IT" w:bidi="it-IT"/>
      </w:rPr>
    </w:lvl>
    <w:lvl w:ilvl="2">
      <w:start w:val="0"/>
      <w:numFmt w:val="bullet"/>
      <w:lvlText w:val="●"/>
      <w:lvlJc w:val="left"/>
      <w:pPr>
        <w:ind w:left="820" w:hanging="340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it-IT" w:eastAsia="it-IT" w:bidi="it-IT"/>
      </w:rPr>
    </w:lvl>
    <w:lvl w:ilvl="3">
      <w:start w:val="0"/>
      <w:numFmt w:val="bullet"/>
      <w:lvlText w:val="•"/>
      <w:lvlJc w:val="left"/>
      <w:pPr>
        <w:ind w:left="2824" w:hanging="340"/>
      </w:pPr>
      <w:rPr>
        <w:rFonts w:hint="default"/>
        <w:lang w:val="it-IT" w:eastAsia="it-IT" w:bidi="it-IT"/>
      </w:rPr>
    </w:lvl>
    <w:lvl w:ilvl="4">
      <w:start w:val="0"/>
      <w:numFmt w:val="bullet"/>
      <w:lvlText w:val="•"/>
      <w:lvlJc w:val="left"/>
      <w:pPr>
        <w:ind w:left="3826" w:hanging="340"/>
      </w:pPr>
      <w:rPr>
        <w:rFonts w:hint="default"/>
        <w:lang w:val="it-IT" w:eastAsia="it-IT" w:bidi="it-IT"/>
      </w:rPr>
    </w:lvl>
    <w:lvl w:ilvl="5">
      <w:start w:val="0"/>
      <w:numFmt w:val="bullet"/>
      <w:lvlText w:val="•"/>
      <w:lvlJc w:val="left"/>
      <w:pPr>
        <w:ind w:left="4828" w:hanging="340"/>
      </w:pPr>
      <w:rPr>
        <w:rFonts w:hint="default"/>
        <w:lang w:val="it-IT" w:eastAsia="it-IT" w:bidi="it-IT"/>
      </w:rPr>
    </w:lvl>
    <w:lvl w:ilvl="6">
      <w:start w:val="0"/>
      <w:numFmt w:val="bullet"/>
      <w:lvlText w:val="•"/>
      <w:lvlJc w:val="left"/>
      <w:pPr>
        <w:ind w:left="5831" w:hanging="340"/>
      </w:pPr>
      <w:rPr>
        <w:rFonts w:hint="default"/>
        <w:lang w:val="it-IT" w:eastAsia="it-IT" w:bidi="it-IT"/>
      </w:rPr>
    </w:lvl>
    <w:lvl w:ilvl="7">
      <w:start w:val="0"/>
      <w:numFmt w:val="bullet"/>
      <w:lvlText w:val="•"/>
      <w:lvlJc w:val="left"/>
      <w:pPr>
        <w:ind w:left="6833" w:hanging="340"/>
      </w:pPr>
      <w:rPr>
        <w:rFonts w:hint="default"/>
        <w:lang w:val="it-IT" w:eastAsia="it-IT" w:bidi="it-IT"/>
      </w:rPr>
    </w:lvl>
    <w:lvl w:ilvl="8">
      <w:start w:val="0"/>
      <w:numFmt w:val="bullet"/>
      <w:lvlText w:val="•"/>
      <w:lvlJc w:val="left"/>
      <w:pPr>
        <w:ind w:left="7835" w:hanging="34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it-IT" w:bidi="it-IT"/>
    </w:rPr>
  </w:style>
  <w:style w:styleId="Heading1" w:type="paragraph">
    <w:name w:val="Heading 1"/>
    <w:basedOn w:val="Normal"/>
    <w:uiPriority w:val="1"/>
    <w:qFormat/>
    <w:pPr>
      <w:ind w:left="197" w:right="80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t-IT" w:eastAsia="it-IT" w:bidi="it-IT"/>
    </w:rPr>
  </w:style>
  <w:style w:styleId="Heading2" w:type="paragraph">
    <w:name w:val="Heading 2"/>
    <w:basedOn w:val="Normal"/>
    <w:uiPriority w:val="1"/>
    <w:qFormat/>
    <w:pPr>
      <w:ind w:left="195" w:right="633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it-IT" w:bidi="it-IT"/>
    </w:rPr>
  </w:style>
  <w:style w:styleId="ListParagraph" w:type="paragraph">
    <w:name w:val="List Paragraph"/>
    <w:basedOn w:val="Normal"/>
    <w:uiPriority w:val="1"/>
    <w:qFormat/>
    <w:pPr>
      <w:ind w:left="820" w:hanging="360"/>
      <w:jc w:val="both"/>
    </w:pPr>
    <w:rPr>
      <w:rFonts w:ascii="Times New Roman" w:hAnsi="Times New Roman" w:eastAsia="Times New Roman" w:cs="Times New Roman"/>
      <w:lang w:val="it-IT" w:eastAsia="it-IT" w:bidi="it-IT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A4_Verifica del rispetto del principio DNSH (Azione 1.2.2).docx</dc:title>
  <dcterms:created xsi:type="dcterms:W3CDTF">2025-10-08T11:57:51Z</dcterms:created>
  <dcterms:modified xsi:type="dcterms:W3CDTF">2025-10-08T11:57:51Z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2025-10-08T00:00:00Z</vt:filetime>
  </property>
</Properties>
</file>