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00EE2" w14:textId="4756E7C5" w:rsidR="00144DDC" w:rsidRPr="003C6410" w:rsidRDefault="00D845F4" w:rsidP="00B12A2A">
      <w:pPr>
        <w:rPr>
          <w:rFonts w:cs="Times New Roman"/>
          <w:b/>
          <w:bCs/>
          <w:szCs w:val="22"/>
        </w:rPr>
      </w:pPr>
      <w:r w:rsidRPr="003C6410">
        <w:rPr>
          <w:rFonts w:cs="Times New Roman"/>
          <w:noProof/>
          <w:sz w:val="32"/>
          <w:szCs w:val="32"/>
          <w:lang w:eastAsia="it-IT"/>
        </w:rPr>
        <w:drawing>
          <wp:inline distT="0" distB="0" distL="0" distR="0" wp14:anchorId="65A5AC7E" wp14:editId="6EC64521">
            <wp:extent cx="3025140" cy="381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565" r="-69" b="-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7EEC2" w14:textId="77777777" w:rsidR="00144DDC" w:rsidRPr="003C6410" w:rsidRDefault="00144DDC">
      <w:pPr>
        <w:jc w:val="center"/>
        <w:rPr>
          <w:rFonts w:cs="Times New Roman"/>
          <w:b/>
          <w:bCs/>
          <w:szCs w:val="22"/>
        </w:rPr>
      </w:pPr>
    </w:p>
    <w:p w14:paraId="563F6F94" w14:textId="77777777" w:rsidR="00144DDC" w:rsidRPr="003C6410" w:rsidRDefault="00144DDC">
      <w:pPr>
        <w:jc w:val="center"/>
        <w:rPr>
          <w:rFonts w:cs="Times New Roman"/>
          <w:b/>
          <w:bCs/>
          <w:szCs w:val="22"/>
        </w:rPr>
      </w:pPr>
    </w:p>
    <w:p w14:paraId="5AA85835" w14:textId="5C3D30FF" w:rsidR="00144DDC" w:rsidRDefault="00144DDC">
      <w:pPr>
        <w:jc w:val="center"/>
        <w:rPr>
          <w:rFonts w:cs="Times New Roman"/>
          <w:b/>
          <w:bCs/>
        </w:rPr>
      </w:pPr>
    </w:p>
    <w:p w14:paraId="328D88CB" w14:textId="77777777" w:rsidR="007C426D" w:rsidRPr="003C6410" w:rsidRDefault="007C426D">
      <w:pPr>
        <w:jc w:val="center"/>
        <w:rPr>
          <w:rFonts w:cs="Times New Roman"/>
          <w:b/>
          <w:bCs/>
          <w:szCs w:val="22"/>
        </w:rPr>
      </w:pPr>
    </w:p>
    <w:p w14:paraId="34FFB86F" w14:textId="77777777" w:rsidR="00144DDC" w:rsidRPr="003C6410" w:rsidRDefault="00144DDC">
      <w:pPr>
        <w:jc w:val="center"/>
        <w:rPr>
          <w:rFonts w:cs="Times New Roman"/>
          <w:b/>
          <w:bCs/>
          <w:szCs w:val="22"/>
        </w:rPr>
      </w:pPr>
    </w:p>
    <w:p w14:paraId="51534D7E" w14:textId="77777777" w:rsidR="00144DDC" w:rsidRPr="003C6410" w:rsidRDefault="00144DDC">
      <w:pPr>
        <w:jc w:val="center"/>
        <w:rPr>
          <w:rFonts w:cs="Times New Roman"/>
          <w:b/>
          <w:bCs/>
          <w:szCs w:val="22"/>
        </w:rPr>
      </w:pPr>
    </w:p>
    <w:p w14:paraId="03D0CC72" w14:textId="72893A59" w:rsidR="00144DDC" w:rsidRPr="003C6410" w:rsidRDefault="00B07D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cs="Times New Roman"/>
          <w:b/>
          <w:bCs/>
          <w:sz w:val="28"/>
          <w:szCs w:val="28"/>
        </w:rPr>
        <w:t>BANDO 202</w:t>
      </w:r>
      <w:r w:rsidR="00082CAC">
        <w:rPr>
          <w:rFonts w:cs="Times New Roman"/>
          <w:b/>
          <w:bCs/>
          <w:sz w:val="28"/>
          <w:szCs w:val="28"/>
        </w:rPr>
        <w:t>5</w:t>
      </w:r>
    </w:p>
    <w:p w14:paraId="7C3FD394" w14:textId="77777777" w:rsidR="00144DDC" w:rsidRPr="003C6410" w:rsidRDefault="00144DDC">
      <w:pPr>
        <w:jc w:val="center"/>
        <w:rPr>
          <w:rFonts w:cs="Times New Roman"/>
          <w:b/>
          <w:bCs/>
          <w:sz w:val="28"/>
          <w:szCs w:val="22"/>
        </w:rPr>
      </w:pPr>
    </w:p>
    <w:p w14:paraId="37A4CE60" w14:textId="77777777" w:rsidR="00144DDC" w:rsidRPr="003C6410" w:rsidRDefault="00144DDC">
      <w:pPr>
        <w:jc w:val="center"/>
        <w:rPr>
          <w:rFonts w:cs="Times New Roman"/>
          <w:b/>
          <w:bCs/>
          <w:szCs w:val="22"/>
        </w:rPr>
      </w:pPr>
    </w:p>
    <w:p w14:paraId="488E0B39" w14:textId="77777777" w:rsidR="00144DDC" w:rsidRPr="003C6410" w:rsidRDefault="00144DDC">
      <w:pPr>
        <w:jc w:val="center"/>
        <w:rPr>
          <w:rFonts w:cs="Times New Roman"/>
          <w:b/>
          <w:bCs/>
          <w:szCs w:val="22"/>
        </w:rPr>
      </w:pPr>
    </w:p>
    <w:p w14:paraId="7EBFAC80" w14:textId="3E030DAE" w:rsidR="006A3893" w:rsidRPr="006A3893" w:rsidRDefault="006A3893" w:rsidP="006A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Times New Roman"/>
          <w:b/>
          <w:bCs/>
          <w:sz w:val="28"/>
          <w:szCs w:val="28"/>
        </w:rPr>
      </w:pPr>
      <w:r w:rsidRPr="006A3893">
        <w:rPr>
          <w:rFonts w:cs="Times New Roman"/>
          <w:b/>
          <w:bCs/>
          <w:sz w:val="28"/>
          <w:szCs w:val="28"/>
        </w:rPr>
        <w:t>BANDO PER L’</w:t>
      </w:r>
      <w:r w:rsidR="004C6E3E">
        <w:rPr>
          <w:rFonts w:cs="Times New Roman"/>
          <w:b/>
          <w:bCs/>
          <w:sz w:val="28"/>
          <w:szCs w:val="28"/>
        </w:rPr>
        <w:t>ASSEGNAZIONE</w:t>
      </w:r>
      <w:r w:rsidRPr="006A3893">
        <w:rPr>
          <w:rFonts w:cs="Times New Roman"/>
          <w:b/>
          <w:bCs/>
          <w:sz w:val="28"/>
          <w:szCs w:val="28"/>
        </w:rPr>
        <w:t xml:space="preserve"> DI CONTRIBUTI A SUPPORTO DEI COMUNI PER LA REDAZIONE DEL PIANO DI ASSETTO DEL TERRITORIO COMUNALE o INTERCOMUNALE </w:t>
      </w:r>
    </w:p>
    <w:p w14:paraId="1A49A05D" w14:textId="77777777" w:rsidR="006A3893" w:rsidRPr="006A3893" w:rsidRDefault="006A3893" w:rsidP="006A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Times New Roman"/>
          <w:b/>
          <w:bCs/>
          <w:sz w:val="28"/>
          <w:szCs w:val="28"/>
        </w:rPr>
      </w:pPr>
      <w:r w:rsidRPr="006A3893">
        <w:rPr>
          <w:rFonts w:cs="Times New Roman"/>
          <w:b/>
          <w:bCs/>
          <w:sz w:val="28"/>
          <w:szCs w:val="28"/>
        </w:rPr>
        <w:t>ARTICOLO 47 DELLA LEGGE REGIONALE 23 APRILE 2004, N. 11</w:t>
      </w:r>
    </w:p>
    <w:p w14:paraId="1599DEFD" w14:textId="77777777" w:rsidR="006A3893" w:rsidRPr="006A3893" w:rsidRDefault="006A3893" w:rsidP="006A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Times New Roman"/>
          <w:b/>
          <w:bCs/>
          <w:sz w:val="24"/>
          <w:szCs w:val="22"/>
        </w:rPr>
      </w:pPr>
      <w:r w:rsidRPr="006A3893">
        <w:rPr>
          <w:rFonts w:cs="Times New Roman"/>
          <w:b/>
          <w:bCs/>
          <w:sz w:val="24"/>
          <w:szCs w:val="22"/>
        </w:rPr>
        <w:t>Norme per il governo del territorio e in materia di paesaggio</w:t>
      </w:r>
    </w:p>
    <w:p w14:paraId="4B0C4329" w14:textId="77777777" w:rsidR="006A3893" w:rsidRPr="006A3893" w:rsidRDefault="006A3893" w:rsidP="006A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Times New Roman"/>
          <w:b/>
          <w:bCs/>
          <w:sz w:val="24"/>
          <w:szCs w:val="22"/>
        </w:rPr>
      </w:pPr>
      <w:r w:rsidRPr="006A3893">
        <w:rPr>
          <w:rFonts w:cs="Times New Roman"/>
          <w:b/>
          <w:bCs/>
          <w:sz w:val="24"/>
          <w:szCs w:val="22"/>
        </w:rPr>
        <w:t xml:space="preserve">DGR n.    del  </w:t>
      </w:r>
    </w:p>
    <w:p w14:paraId="29E25C8B" w14:textId="77777777" w:rsidR="00144DDC" w:rsidRPr="003C6410" w:rsidRDefault="00144DDC">
      <w:pPr>
        <w:rPr>
          <w:rFonts w:cs="Times New Roman"/>
          <w:b/>
          <w:bCs/>
          <w:sz w:val="24"/>
          <w:szCs w:val="22"/>
        </w:rPr>
      </w:pPr>
    </w:p>
    <w:p w14:paraId="6C050CFF" w14:textId="77777777" w:rsidR="00144DDC" w:rsidRPr="003C6410" w:rsidRDefault="00144DDC">
      <w:pPr>
        <w:rPr>
          <w:rFonts w:cs="Times New Roman"/>
          <w:szCs w:val="22"/>
        </w:rPr>
      </w:pPr>
    </w:p>
    <w:p w14:paraId="18D07DF0" w14:textId="77777777" w:rsidR="00144DDC" w:rsidRPr="003C6410" w:rsidRDefault="00144DDC" w:rsidP="005A0559">
      <w:pPr>
        <w:jc w:val="center"/>
        <w:sectPr w:rsidR="00144DDC" w:rsidRPr="003C6410">
          <w:pgSz w:w="11906" w:h="16838"/>
          <w:pgMar w:top="1134" w:right="1134" w:bottom="1701" w:left="1134" w:header="720" w:footer="720" w:gutter="0"/>
          <w:cols w:space="720"/>
          <w:titlePg/>
          <w:docGrid w:linePitch="299"/>
        </w:sectPr>
      </w:pPr>
    </w:p>
    <w:p w14:paraId="4801A93A" w14:textId="293EB76B" w:rsidR="00144DDC" w:rsidRPr="003C6410" w:rsidRDefault="009136D8" w:rsidP="009136D8">
      <w:pPr>
        <w:pStyle w:val="Titolo2"/>
        <w:numPr>
          <w:ilvl w:val="0"/>
          <w:numId w:val="0"/>
        </w:numPr>
      </w:pPr>
      <w:r>
        <w:lastRenderedPageBreak/>
        <w:t>Premesse: f</w:t>
      </w:r>
      <w:r w:rsidR="00144DDC" w:rsidRPr="003C6410">
        <w:t>inalità e oggetto del Bando</w:t>
      </w:r>
    </w:p>
    <w:p w14:paraId="7562D3F7" w14:textId="4C2A83AD" w:rsidR="00FF6DC8" w:rsidRPr="005C40E2" w:rsidRDefault="00FF6DC8" w:rsidP="00FF6DC8">
      <w:pPr>
        <w:spacing w:after="240"/>
        <w:rPr>
          <w:rFonts w:cs="Times New Roman"/>
          <w:szCs w:val="22"/>
        </w:rPr>
      </w:pPr>
      <w:r w:rsidRPr="005C40E2">
        <w:rPr>
          <w:rFonts w:cs="Times New Roman"/>
          <w:szCs w:val="22"/>
        </w:rPr>
        <w:t xml:space="preserve">La </w:t>
      </w:r>
      <w:r w:rsidR="00882D65" w:rsidRPr="005C40E2">
        <w:rPr>
          <w:rFonts w:cs="Times New Roman"/>
          <w:szCs w:val="22"/>
        </w:rPr>
        <w:t xml:space="preserve">Legge </w:t>
      </w:r>
      <w:r w:rsidRPr="005C40E2">
        <w:rPr>
          <w:rFonts w:cs="Times New Roman"/>
          <w:szCs w:val="22"/>
        </w:rPr>
        <w:t>regionale 23 aprile 2004 n. 11 “Norme per il governo del territorio e in materia di paesaggio” ha introdotto un nuovo approccio conoscitivo e progettuale nella disciplina del governo del territorio, prevedendo l’utilizzo di strumenti innovativi nella pianificazione e nuove procedure; in particolare, la citata Legge Regionale prevede la sostituzione del vecchio strumento di pianificazione (Piano Regolatore Generale – P.R.G.) con il nuovo Piano Regolatore Comunale (P.R.C.), suddiviso in due livelli di pianificazione: il “Piano di Assetto del Territorio” contenente disposizioni strutturali ed il “Piano degli Interventi” contenente disposizioni operative.</w:t>
      </w:r>
    </w:p>
    <w:p w14:paraId="7CF44615" w14:textId="29C9B74E" w:rsidR="00AF1DDD" w:rsidRPr="005C40E2" w:rsidRDefault="00AF1DDD" w:rsidP="00FF6DC8">
      <w:pPr>
        <w:spacing w:after="240"/>
        <w:rPr>
          <w:rFonts w:cs="Times New Roman"/>
          <w:szCs w:val="22"/>
        </w:rPr>
      </w:pPr>
      <w:r w:rsidRPr="005C40E2">
        <w:rPr>
          <w:rFonts w:cs="Times New Roman"/>
          <w:szCs w:val="22"/>
        </w:rPr>
        <w:t xml:space="preserve">Dall’entrata in vigore della </w:t>
      </w:r>
      <w:r w:rsidR="00882D65" w:rsidRPr="005C40E2">
        <w:rPr>
          <w:rFonts w:cs="Times New Roman"/>
          <w:szCs w:val="22"/>
        </w:rPr>
        <w:t xml:space="preserve">Legge </w:t>
      </w:r>
      <w:r w:rsidRPr="005C40E2">
        <w:rPr>
          <w:rFonts w:cs="Times New Roman"/>
          <w:szCs w:val="22"/>
        </w:rPr>
        <w:t>urbanistica regionale la quasi totalità dei Comuni del Veneto si è dotata di Piano di Assetto del Territorio o di Piano di Assetto del Territorio Intercomunale, rimanendo ancora un ristretto numero di comuni che non hanno ancora provveduto ad adeguare la propria strumentazione urbanistica alle disposizioni della L</w:t>
      </w:r>
      <w:r w:rsidR="006A3893">
        <w:rPr>
          <w:rFonts w:cs="Times New Roman"/>
          <w:szCs w:val="22"/>
        </w:rPr>
        <w:t>.</w:t>
      </w:r>
      <w:r w:rsidRPr="005C40E2">
        <w:rPr>
          <w:rFonts w:cs="Times New Roman"/>
          <w:szCs w:val="22"/>
        </w:rPr>
        <w:t>R</w:t>
      </w:r>
      <w:r w:rsidR="006A3893">
        <w:rPr>
          <w:rFonts w:cs="Times New Roman"/>
          <w:szCs w:val="22"/>
        </w:rPr>
        <w:t>.</w:t>
      </w:r>
      <w:r w:rsidRPr="005C40E2">
        <w:rPr>
          <w:rFonts w:cs="Times New Roman"/>
          <w:szCs w:val="22"/>
        </w:rPr>
        <w:t xml:space="preserve"> </w:t>
      </w:r>
      <w:r w:rsidR="006A3893">
        <w:rPr>
          <w:rFonts w:cs="Times New Roman"/>
          <w:szCs w:val="22"/>
        </w:rPr>
        <w:t xml:space="preserve">n. </w:t>
      </w:r>
      <w:r w:rsidRPr="005C40E2">
        <w:rPr>
          <w:rFonts w:cs="Times New Roman"/>
          <w:szCs w:val="22"/>
        </w:rPr>
        <w:t>11/2004</w:t>
      </w:r>
    </w:p>
    <w:p w14:paraId="2266AE5B" w14:textId="5E24E5DE" w:rsidR="00174096" w:rsidRPr="005C40E2" w:rsidRDefault="00AF1DDD" w:rsidP="00241893">
      <w:pPr>
        <w:suppressAutoHyphens w:val="0"/>
        <w:autoSpaceDE w:val="0"/>
        <w:autoSpaceDN w:val="0"/>
        <w:adjustRightInd w:val="0"/>
        <w:spacing w:after="0"/>
        <w:rPr>
          <w:rFonts w:cs="Times New Roman"/>
          <w:szCs w:val="22"/>
        </w:rPr>
      </w:pPr>
      <w:r w:rsidRPr="005C40E2">
        <w:rPr>
          <w:rFonts w:eastAsia="TimesNewRoman-Identity-H" w:cs="Times New Roman"/>
          <w:szCs w:val="22"/>
          <w:lang w:eastAsia="it-IT"/>
        </w:rPr>
        <w:t>I</w:t>
      </w:r>
      <w:r w:rsidR="00995080" w:rsidRPr="005C40E2">
        <w:rPr>
          <w:rFonts w:eastAsia="TimesNewRoman-Identity-H" w:cs="Times New Roman"/>
          <w:szCs w:val="22"/>
          <w:lang w:eastAsia="it-IT"/>
        </w:rPr>
        <w:t xml:space="preserve">l presente </w:t>
      </w:r>
      <w:r w:rsidR="00241893" w:rsidRPr="005C40E2">
        <w:rPr>
          <w:rFonts w:eastAsia="TimesNewRoman-Identity-H" w:cs="Times New Roman"/>
          <w:szCs w:val="22"/>
          <w:lang w:eastAsia="it-IT"/>
        </w:rPr>
        <w:t xml:space="preserve">Bando, ai sensi dell’art. 47 </w:t>
      </w:r>
      <w:r w:rsidR="006A3893" w:rsidRPr="006A3893">
        <w:rPr>
          <w:rFonts w:eastAsia="TimesNewRoman-Identity-H" w:cs="Times New Roman"/>
          <w:szCs w:val="22"/>
          <w:lang w:eastAsia="it-IT"/>
        </w:rPr>
        <w:t>della L.R. n. 11/2004</w:t>
      </w:r>
      <w:r w:rsidR="00995080" w:rsidRPr="005C40E2">
        <w:rPr>
          <w:rFonts w:eastAsia="TimesNewRoman-Identity-H" w:cs="Times New Roman"/>
          <w:szCs w:val="22"/>
          <w:lang w:eastAsia="it-IT"/>
        </w:rPr>
        <w:t>,</w:t>
      </w:r>
      <w:r w:rsidR="00174096" w:rsidRPr="005C40E2">
        <w:rPr>
          <w:rFonts w:eastAsia="TimesNewRoman-Identity-H" w:cs="Times New Roman"/>
          <w:szCs w:val="22"/>
          <w:lang w:eastAsia="it-IT"/>
        </w:rPr>
        <w:t xml:space="preserve"> </w:t>
      </w:r>
      <w:r w:rsidRPr="005C40E2">
        <w:rPr>
          <w:rFonts w:eastAsia="TimesNewRoman-Identity-H" w:cs="Times New Roman"/>
          <w:szCs w:val="22"/>
          <w:lang w:eastAsia="it-IT"/>
        </w:rPr>
        <w:t xml:space="preserve">è volto a </w:t>
      </w:r>
      <w:r w:rsidR="00174096" w:rsidRPr="005C40E2">
        <w:rPr>
          <w:rFonts w:cs="Times New Roman"/>
          <w:szCs w:val="22"/>
        </w:rPr>
        <w:t xml:space="preserve">sostenere i comuni che intendono avviare nel corrente anno la procedura per redigere il Piano di Assetto del Territorio o il Piano di Assetto del Territorio Intercomunale integrale fornendo loro un </w:t>
      </w:r>
      <w:r w:rsidRPr="005C40E2">
        <w:rPr>
          <w:rFonts w:cs="Times New Roman"/>
          <w:szCs w:val="22"/>
        </w:rPr>
        <w:t>contributo</w:t>
      </w:r>
      <w:r w:rsidR="00174096" w:rsidRPr="005C40E2">
        <w:rPr>
          <w:rFonts w:cs="Times New Roman"/>
          <w:szCs w:val="22"/>
        </w:rPr>
        <w:t xml:space="preserve"> </w:t>
      </w:r>
      <w:r w:rsidRPr="005C40E2">
        <w:rPr>
          <w:rFonts w:cs="Times New Roman"/>
          <w:szCs w:val="22"/>
        </w:rPr>
        <w:t xml:space="preserve">economico </w:t>
      </w:r>
      <w:r w:rsidR="00174096" w:rsidRPr="005C40E2">
        <w:rPr>
          <w:rFonts w:cs="Times New Roman"/>
          <w:szCs w:val="22"/>
        </w:rPr>
        <w:t>finalizzato alla formazione del quadro conoscitivo ed alle elaborazioni analitiche e progettuali del nuovo strumento urbanistico comunale</w:t>
      </w:r>
      <w:r w:rsidRPr="005C40E2">
        <w:rPr>
          <w:rFonts w:cs="Times New Roman"/>
          <w:szCs w:val="22"/>
        </w:rPr>
        <w:t xml:space="preserve">. </w:t>
      </w:r>
    </w:p>
    <w:p w14:paraId="53DDA7E5" w14:textId="797EE071" w:rsidR="00AF1DDD" w:rsidRPr="005C40E2" w:rsidRDefault="00AF1DDD" w:rsidP="005C40E2">
      <w:pPr>
        <w:suppressAutoHyphens w:val="0"/>
        <w:autoSpaceDE w:val="0"/>
        <w:autoSpaceDN w:val="0"/>
        <w:adjustRightInd w:val="0"/>
        <w:spacing w:after="0"/>
        <w:rPr>
          <w:rFonts w:cs="Times New Roman"/>
          <w:szCs w:val="22"/>
        </w:rPr>
      </w:pPr>
    </w:p>
    <w:p w14:paraId="32F75E63" w14:textId="3ED1BC17" w:rsidR="005C40E2" w:rsidRPr="005C40E2" w:rsidRDefault="00AF1DDD" w:rsidP="005C40E2">
      <w:pPr>
        <w:suppressAutoHyphens w:val="0"/>
        <w:autoSpaceDE w:val="0"/>
        <w:autoSpaceDN w:val="0"/>
        <w:adjustRightInd w:val="0"/>
        <w:spacing w:after="0"/>
        <w:rPr>
          <w:rFonts w:cs="Times New Roman"/>
          <w:szCs w:val="22"/>
        </w:rPr>
      </w:pPr>
      <w:r w:rsidRPr="005C40E2">
        <w:rPr>
          <w:rFonts w:cs="Times New Roman"/>
          <w:szCs w:val="22"/>
          <w:lang w:eastAsia="it-IT"/>
        </w:rPr>
        <w:t>Con tale azione si intende  favorire l’</w:t>
      </w:r>
      <w:r w:rsidR="005C40E2">
        <w:rPr>
          <w:rFonts w:cs="Times New Roman"/>
          <w:szCs w:val="22"/>
          <w:lang w:eastAsia="it-IT"/>
        </w:rPr>
        <w:t xml:space="preserve">allineamento </w:t>
      </w:r>
      <w:r w:rsidRPr="005C40E2">
        <w:rPr>
          <w:rFonts w:cs="Times New Roman"/>
          <w:szCs w:val="22"/>
          <w:lang w:eastAsia="it-IT"/>
        </w:rPr>
        <w:t xml:space="preserve">dell’intero territorio regionale </w:t>
      </w:r>
      <w:r w:rsidRPr="005C40E2">
        <w:rPr>
          <w:rFonts w:cs="Times New Roman"/>
          <w:szCs w:val="22"/>
        </w:rPr>
        <w:t>alle modalità di pianificazione e governo del territo</w:t>
      </w:r>
      <w:r w:rsidR="004C184A">
        <w:rPr>
          <w:rFonts w:cs="Times New Roman"/>
          <w:szCs w:val="22"/>
        </w:rPr>
        <w:t>rio</w:t>
      </w:r>
      <w:r w:rsidRPr="005C40E2">
        <w:rPr>
          <w:rFonts w:cs="Times New Roman"/>
          <w:szCs w:val="22"/>
        </w:rPr>
        <w:t xml:space="preserve"> discendenti dalla L.R. n. 11/2004, rendendo così possibile promuovere uno sviluppo sostenibile del territorio e delle comunità locali, tutelare le identità storico-culturali, favorire la riqualificazione urbana del tessuto insediativo esistente anche al fine del contenimento del consumo di suolo, consentire l’utilizzo degli strumenti di natura perequativa, di compensazione e riqualificazione ambientale, completare la conoscenza sistematica degli aspetti fisici, socio- economici e programmatori del territorio, </w:t>
      </w:r>
      <w:r w:rsidR="005C40E2" w:rsidRPr="005C40E2">
        <w:rPr>
          <w:rFonts w:cs="Times New Roman"/>
          <w:szCs w:val="22"/>
        </w:rPr>
        <w:t xml:space="preserve">sia </w:t>
      </w:r>
      <w:r w:rsidR="005C40E2">
        <w:rPr>
          <w:rFonts w:cs="Times New Roman"/>
          <w:szCs w:val="22"/>
        </w:rPr>
        <w:t xml:space="preserve">a </w:t>
      </w:r>
      <w:r w:rsidRPr="005C40E2">
        <w:rPr>
          <w:rFonts w:cs="Times New Roman"/>
          <w:szCs w:val="22"/>
        </w:rPr>
        <w:t xml:space="preserve">scala locale </w:t>
      </w:r>
      <w:r w:rsidR="005C40E2" w:rsidRPr="005C40E2">
        <w:rPr>
          <w:rFonts w:cs="Times New Roman"/>
          <w:szCs w:val="22"/>
        </w:rPr>
        <w:t xml:space="preserve">che </w:t>
      </w:r>
      <w:r w:rsidRPr="005C40E2">
        <w:rPr>
          <w:rFonts w:cs="Times New Roman"/>
          <w:szCs w:val="22"/>
        </w:rPr>
        <w:t>di area vasta</w:t>
      </w:r>
      <w:r w:rsidR="005C40E2" w:rsidRPr="005C40E2">
        <w:rPr>
          <w:rFonts w:cs="Times New Roman"/>
          <w:szCs w:val="22"/>
        </w:rPr>
        <w:t xml:space="preserve">, completando l’acquisizione </w:t>
      </w:r>
      <w:r w:rsidRPr="005C40E2">
        <w:rPr>
          <w:rFonts w:cs="Times New Roman"/>
          <w:szCs w:val="22"/>
        </w:rPr>
        <w:t>dei quadri conoscitivi</w:t>
      </w:r>
      <w:r w:rsidR="005C40E2" w:rsidRPr="005C40E2">
        <w:rPr>
          <w:rFonts w:cs="Times New Roman"/>
          <w:szCs w:val="22"/>
        </w:rPr>
        <w:t xml:space="preserve"> comunali. </w:t>
      </w:r>
    </w:p>
    <w:p w14:paraId="4B3A45D9" w14:textId="6F3FDABF" w:rsidR="007A3C8A" w:rsidRPr="005C40E2" w:rsidRDefault="007A3C8A" w:rsidP="00995080">
      <w:pPr>
        <w:suppressAutoHyphens w:val="0"/>
        <w:autoSpaceDE w:val="0"/>
        <w:autoSpaceDN w:val="0"/>
        <w:adjustRightInd w:val="0"/>
        <w:spacing w:after="0"/>
        <w:rPr>
          <w:rFonts w:eastAsia="TimesNewRoman-Identity-H" w:cs="Times New Roman"/>
          <w:szCs w:val="22"/>
          <w:lang w:eastAsia="it-IT"/>
        </w:rPr>
      </w:pPr>
    </w:p>
    <w:p w14:paraId="4CC73393" w14:textId="4AF51059" w:rsidR="00144DDC" w:rsidRPr="007A3C8A" w:rsidRDefault="00620ED6" w:rsidP="00620ED6">
      <w:pPr>
        <w:pStyle w:val="Titolo2"/>
        <w:numPr>
          <w:ilvl w:val="0"/>
          <w:numId w:val="0"/>
        </w:numPr>
      </w:pPr>
      <w:r>
        <w:t xml:space="preserve">1. </w:t>
      </w:r>
      <w:r w:rsidR="00144DDC" w:rsidRPr="007A3C8A">
        <w:t>Dotazione finanziaria</w:t>
      </w:r>
    </w:p>
    <w:p w14:paraId="11126C37" w14:textId="4925CE1B" w:rsidR="00144DDC" w:rsidRPr="00F00D33" w:rsidRDefault="00144DDC">
      <w:pPr>
        <w:rPr>
          <w:color w:val="000000" w:themeColor="text1"/>
        </w:rPr>
      </w:pPr>
      <w:r w:rsidRPr="00F00D33">
        <w:rPr>
          <w:color w:val="000000" w:themeColor="text1"/>
        </w:rPr>
        <w:t xml:space="preserve">Gli </w:t>
      </w:r>
      <w:r w:rsidRPr="009136D8">
        <w:rPr>
          <w:color w:val="000000" w:themeColor="text1"/>
        </w:rPr>
        <w:t>interventi</w:t>
      </w:r>
      <w:r w:rsidRPr="00F00D33">
        <w:rPr>
          <w:color w:val="000000" w:themeColor="text1"/>
        </w:rPr>
        <w:t xml:space="preserve"> </w:t>
      </w:r>
      <w:r w:rsidR="00F24FA4" w:rsidRPr="00F00D33">
        <w:rPr>
          <w:color w:val="000000" w:themeColor="text1"/>
        </w:rPr>
        <w:t xml:space="preserve">ammessi al contributo </w:t>
      </w:r>
      <w:r w:rsidRPr="00F00D33">
        <w:rPr>
          <w:color w:val="000000" w:themeColor="text1"/>
        </w:rPr>
        <w:t xml:space="preserve">sono finanziati </w:t>
      </w:r>
      <w:r w:rsidR="00A7247A" w:rsidRPr="00F00D33">
        <w:rPr>
          <w:color w:val="000000" w:themeColor="text1"/>
        </w:rPr>
        <w:t xml:space="preserve">dal capitolo di spesa n. </w:t>
      </w:r>
      <w:r w:rsidR="00895CAB" w:rsidRPr="00F00D33">
        <w:rPr>
          <w:color w:val="000000" w:themeColor="text1"/>
        </w:rPr>
        <w:t>104592</w:t>
      </w:r>
      <w:r w:rsidR="00A7247A" w:rsidRPr="00F00D33">
        <w:rPr>
          <w:color w:val="000000" w:themeColor="text1"/>
        </w:rPr>
        <w:t xml:space="preserve"> “</w:t>
      </w:r>
      <w:r w:rsidR="00895CAB" w:rsidRPr="00F00D33">
        <w:rPr>
          <w:color w:val="000000" w:themeColor="text1"/>
        </w:rPr>
        <w:t xml:space="preserve">Azioni regionali per l’adeguamento degli strumenti urbanistici generali comunali e Intercomunali - Trasferimenti correnti (artt. 12, 47 </w:t>
      </w:r>
      <w:r w:rsidR="00620ED6">
        <w:rPr>
          <w:color w:val="000000" w:themeColor="text1"/>
        </w:rPr>
        <w:t xml:space="preserve">della </w:t>
      </w:r>
      <w:r w:rsidR="00620ED6" w:rsidRPr="00FF6DC8">
        <w:rPr>
          <w:rFonts w:cs="Times New Roman"/>
          <w:szCs w:val="22"/>
        </w:rPr>
        <w:t>L</w:t>
      </w:r>
      <w:r w:rsidR="006A3893">
        <w:rPr>
          <w:rFonts w:cs="Times New Roman"/>
          <w:szCs w:val="22"/>
        </w:rPr>
        <w:t>.</w:t>
      </w:r>
      <w:r w:rsidR="00620ED6" w:rsidRPr="00FF6DC8">
        <w:rPr>
          <w:rFonts w:cs="Times New Roman"/>
          <w:szCs w:val="22"/>
        </w:rPr>
        <w:t>R</w:t>
      </w:r>
      <w:r w:rsidR="006A3893">
        <w:rPr>
          <w:rFonts w:cs="Times New Roman"/>
          <w:szCs w:val="22"/>
        </w:rPr>
        <w:t>.</w:t>
      </w:r>
      <w:r w:rsidR="00620ED6" w:rsidRPr="00FF6DC8">
        <w:rPr>
          <w:rFonts w:cs="Times New Roman"/>
          <w:szCs w:val="22"/>
        </w:rPr>
        <w:t xml:space="preserve"> </w:t>
      </w:r>
      <w:r w:rsidR="00620ED6">
        <w:rPr>
          <w:rFonts w:cs="Times New Roman"/>
          <w:szCs w:val="22"/>
        </w:rPr>
        <w:t xml:space="preserve">n. </w:t>
      </w:r>
      <w:r w:rsidR="00620ED6" w:rsidRPr="00FF6DC8">
        <w:rPr>
          <w:rFonts w:cs="Times New Roman"/>
          <w:szCs w:val="22"/>
        </w:rPr>
        <w:t>11/2004</w:t>
      </w:r>
      <w:r w:rsidR="00895CAB" w:rsidRPr="00F00D33">
        <w:rPr>
          <w:color w:val="000000" w:themeColor="text1"/>
        </w:rPr>
        <w:t>)</w:t>
      </w:r>
      <w:r w:rsidR="00A7247A" w:rsidRPr="00F00D33">
        <w:rPr>
          <w:color w:val="000000" w:themeColor="text1"/>
        </w:rPr>
        <w:t>”</w:t>
      </w:r>
      <w:r w:rsidRPr="00F00D33">
        <w:rPr>
          <w:color w:val="000000" w:themeColor="text1"/>
        </w:rPr>
        <w:t xml:space="preserve"> la cui dotazione finanzia</w:t>
      </w:r>
      <w:r w:rsidR="007A3C8A" w:rsidRPr="00F00D33">
        <w:rPr>
          <w:color w:val="000000" w:themeColor="text1"/>
        </w:rPr>
        <w:t>ria complessiva, per l’anno 202</w:t>
      </w:r>
      <w:r w:rsidR="00C1666F">
        <w:rPr>
          <w:color w:val="000000" w:themeColor="text1"/>
        </w:rPr>
        <w:t>5</w:t>
      </w:r>
      <w:r w:rsidRPr="00F00D33">
        <w:rPr>
          <w:color w:val="000000" w:themeColor="text1"/>
        </w:rPr>
        <w:t>, è pari a euro</w:t>
      </w:r>
      <w:r w:rsidR="003A1B21">
        <w:rPr>
          <w:color w:val="000000" w:themeColor="text1"/>
        </w:rPr>
        <w:t xml:space="preserve"> </w:t>
      </w:r>
      <w:r w:rsidR="00EF3198">
        <w:t>8</w:t>
      </w:r>
      <w:r w:rsidR="00641214">
        <w:t>4</w:t>
      </w:r>
      <w:r w:rsidR="003A1B21" w:rsidRPr="00A175E3">
        <w:t>.000</w:t>
      </w:r>
      <w:r w:rsidRPr="00A175E3">
        <w:t xml:space="preserve">, </w:t>
      </w:r>
      <w:r w:rsidRPr="00F00D33">
        <w:rPr>
          <w:color w:val="000000" w:themeColor="text1"/>
        </w:rPr>
        <w:t xml:space="preserve">le </w:t>
      </w:r>
      <w:r w:rsidRPr="00A175E3">
        <w:t xml:space="preserve">cui risorse sono allocate nella Missione </w:t>
      </w:r>
      <w:r w:rsidR="00F00D33" w:rsidRPr="00A175E3">
        <w:t>00</w:t>
      </w:r>
      <w:r w:rsidRPr="00A175E3">
        <w:t xml:space="preserve">08 “Assetto del territorio ed edilizia abitativa”, Programma </w:t>
      </w:r>
      <w:r w:rsidR="00895CAB" w:rsidRPr="00A175E3">
        <w:t>P0801</w:t>
      </w:r>
      <w:r w:rsidRPr="00A175E3">
        <w:t xml:space="preserve"> “Urbanistica e assetto del territorio”, Titolo 1 “Spese correnti”</w:t>
      </w:r>
      <w:r w:rsidR="00895CAB" w:rsidRPr="00A175E3">
        <w:t xml:space="preserve"> del bilancio di previsione 202</w:t>
      </w:r>
      <w:r w:rsidR="00EF3198">
        <w:t>5</w:t>
      </w:r>
      <w:r w:rsidR="00895CAB" w:rsidRPr="00A175E3">
        <w:t>-202</w:t>
      </w:r>
      <w:r w:rsidR="00EF3198">
        <w:t>7</w:t>
      </w:r>
      <w:r w:rsidRPr="00A175E3">
        <w:t>.</w:t>
      </w:r>
    </w:p>
    <w:p w14:paraId="0ACE3D58" w14:textId="024829CA" w:rsidR="00144DDC" w:rsidRPr="00620ED6" w:rsidRDefault="00620ED6" w:rsidP="00620ED6">
      <w:pPr>
        <w:pStyle w:val="Titolo2"/>
        <w:numPr>
          <w:ilvl w:val="0"/>
          <w:numId w:val="0"/>
        </w:numPr>
      </w:pPr>
      <w:r>
        <w:t xml:space="preserve">2. </w:t>
      </w:r>
      <w:r w:rsidR="007A3C8A" w:rsidRPr="00620ED6">
        <w:t xml:space="preserve">Soggetti Beneficiari </w:t>
      </w:r>
    </w:p>
    <w:p w14:paraId="3722C438" w14:textId="48598C43" w:rsidR="007A3C8A" w:rsidRPr="007A3C8A" w:rsidRDefault="007A3C8A" w:rsidP="0099099C">
      <w:pPr>
        <w:suppressAutoHyphens w:val="0"/>
        <w:autoSpaceDE w:val="0"/>
        <w:autoSpaceDN w:val="0"/>
        <w:adjustRightInd w:val="0"/>
        <w:spacing w:after="0"/>
        <w:rPr>
          <w:rFonts w:cs="Times New Roman"/>
          <w:szCs w:val="22"/>
          <w:lang w:eastAsia="it-IT"/>
        </w:rPr>
      </w:pPr>
      <w:r w:rsidRPr="007A3C8A">
        <w:rPr>
          <w:rFonts w:cs="Times New Roman"/>
          <w:szCs w:val="22"/>
          <w:lang w:eastAsia="it-IT"/>
        </w:rPr>
        <w:t xml:space="preserve">Il presente </w:t>
      </w:r>
      <w:r w:rsidR="00620ED6">
        <w:rPr>
          <w:rFonts w:cs="Times New Roman"/>
          <w:szCs w:val="22"/>
          <w:lang w:eastAsia="it-IT"/>
        </w:rPr>
        <w:t>bando</w:t>
      </w:r>
      <w:r w:rsidR="006A3893">
        <w:rPr>
          <w:rFonts w:cs="Times New Roman"/>
          <w:szCs w:val="22"/>
          <w:lang w:eastAsia="it-IT"/>
        </w:rPr>
        <w:t xml:space="preserve"> è rivolto ai c</w:t>
      </w:r>
      <w:r w:rsidRPr="007A3C8A">
        <w:rPr>
          <w:rFonts w:cs="Times New Roman"/>
          <w:szCs w:val="22"/>
          <w:lang w:eastAsia="it-IT"/>
        </w:rPr>
        <w:t>omuni che intendono avviare nel corrente anno la procedura per adeguare il</w:t>
      </w:r>
      <w:r w:rsidR="0099099C">
        <w:rPr>
          <w:rFonts w:cs="Times New Roman"/>
          <w:szCs w:val="22"/>
          <w:lang w:eastAsia="it-IT"/>
        </w:rPr>
        <w:t xml:space="preserve"> </w:t>
      </w:r>
      <w:r w:rsidRPr="007A3C8A">
        <w:rPr>
          <w:rFonts w:cs="Times New Roman"/>
          <w:szCs w:val="22"/>
          <w:lang w:eastAsia="it-IT"/>
        </w:rPr>
        <w:t xml:space="preserve">proprio strumento urbanistico </w:t>
      </w:r>
      <w:r>
        <w:rPr>
          <w:rFonts w:eastAsia="TimesNewRoman-Identity-H" w:cs="Times New Roman"/>
          <w:szCs w:val="22"/>
          <w:lang w:eastAsia="it-IT"/>
        </w:rPr>
        <w:t>alle disposizioni della</w:t>
      </w:r>
      <w:r>
        <w:rPr>
          <w:rFonts w:cs="Times New Roman"/>
          <w:szCs w:val="22"/>
          <w:lang w:eastAsia="it-IT"/>
        </w:rPr>
        <w:t xml:space="preserve"> </w:t>
      </w:r>
      <w:r w:rsidR="00620ED6" w:rsidRPr="00FF6DC8">
        <w:rPr>
          <w:rFonts w:cs="Times New Roman"/>
          <w:szCs w:val="22"/>
        </w:rPr>
        <w:t>L</w:t>
      </w:r>
      <w:r w:rsidR="006A3893">
        <w:rPr>
          <w:rFonts w:cs="Times New Roman"/>
          <w:szCs w:val="22"/>
        </w:rPr>
        <w:t>.</w:t>
      </w:r>
      <w:r w:rsidR="00620ED6" w:rsidRPr="00FF6DC8">
        <w:rPr>
          <w:rFonts w:cs="Times New Roman"/>
          <w:szCs w:val="22"/>
        </w:rPr>
        <w:t>R</w:t>
      </w:r>
      <w:r w:rsidR="006A3893">
        <w:rPr>
          <w:rFonts w:cs="Times New Roman"/>
          <w:szCs w:val="22"/>
        </w:rPr>
        <w:t>.</w:t>
      </w:r>
      <w:r w:rsidR="00620ED6" w:rsidRPr="00FF6DC8">
        <w:rPr>
          <w:rFonts w:cs="Times New Roman"/>
          <w:szCs w:val="22"/>
        </w:rPr>
        <w:t xml:space="preserve"> </w:t>
      </w:r>
      <w:r w:rsidR="00620ED6">
        <w:rPr>
          <w:rFonts w:cs="Times New Roman"/>
          <w:szCs w:val="22"/>
        </w:rPr>
        <w:t xml:space="preserve">n. </w:t>
      </w:r>
      <w:r w:rsidR="00620ED6" w:rsidRPr="00FF6DC8">
        <w:rPr>
          <w:rFonts w:cs="Times New Roman"/>
          <w:szCs w:val="22"/>
        </w:rPr>
        <w:t>11/2004</w:t>
      </w:r>
      <w:r>
        <w:rPr>
          <w:rFonts w:cs="Times New Roman"/>
          <w:szCs w:val="22"/>
          <w:lang w:eastAsia="it-IT"/>
        </w:rPr>
        <w:t>.</w:t>
      </w:r>
    </w:p>
    <w:p w14:paraId="3F8556A0" w14:textId="77777777" w:rsidR="0074319A" w:rsidRDefault="007A3C8A" w:rsidP="00576A46">
      <w:pPr>
        <w:suppressAutoHyphens w:val="0"/>
        <w:autoSpaceDE w:val="0"/>
        <w:autoSpaceDN w:val="0"/>
        <w:adjustRightInd w:val="0"/>
        <w:spacing w:after="0"/>
        <w:rPr>
          <w:lang w:eastAsia="it-IT"/>
        </w:rPr>
      </w:pPr>
      <w:r w:rsidRPr="007A3C8A">
        <w:rPr>
          <w:rFonts w:cs="Times New Roman"/>
          <w:szCs w:val="22"/>
          <w:lang w:eastAsia="it-IT"/>
        </w:rPr>
        <w:t xml:space="preserve">In particolare, possono presentare domanda di ammissione </w:t>
      </w:r>
      <w:r w:rsidRPr="007A3C8A">
        <w:rPr>
          <w:rFonts w:eastAsia="TimesNewRoman-Identity-H" w:cs="Times New Roman"/>
          <w:szCs w:val="22"/>
          <w:lang w:eastAsia="it-IT"/>
        </w:rPr>
        <w:t>e chiedere l’erogazione del contributo</w:t>
      </w:r>
      <w:r w:rsidR="009136D8">
        <w:rPr>
          <w:rFonts w:cs="Times New Roman"/>
          <w:szCs w:val="22"/>
          <w:lang w:eastAsia="it-IT"/>
        </w:rPr>
        <w:t xml:space="preserve"> </w:t>
      </w:r>
      <w:r w:rsidRPr="007A3C8A">
        <w:rPr>
          <w:rFonts w:cs="Times New Roman"/>
          <w:szCs w:val="22"/>
          <w:lang w:eastAsia="it-IT"/>
        </w:rPr>
        <w:t>di cui</w:t>
      </w:r>
      <w:r w:rsidR="0099099C">
        <w:rPr>
          <w:rFonts w:cs="Times New Roman"/>
          <w:szCs w:val="22"/>
          <w:lang w:eastAsia="it-IT"/>
        </w:rPr>
        <w:t xml:space="preserve"> </w:t>
      </w:r>
      <w:r w:rsidR="009136D8" w:rsidRPr="004F7E69">
        <w:rPr>
          <w:rFonts w:cs="Times New Roman"/>
          <w:szCs w:val="22"/>
          <w:lang w:eastAsia="it-IT"/>
        </w:rPr>
        <w:t>al punto 3</w:t>
      </w:r>
      <w:r w:rsidR="0005213A">
        <w:rPr>
          <w:rFonts w:cs="Times New Roman"/>
          <w:szCs w:val="22"/>
          <w:lang w:eastAsia="it-IT"/>
        </w:rPr>
        <w:t xml:space="preserve"> </w:t>
      </w:r>
      <w:r w:rsidR="006A3893">
        <w:rPr>
          <w:rFonts w:cs="Times New Roman"/>
          <w:szCs w:val="22"/>
          <w:lang w:eastAsia="it-IT"/>
        </w:rPr>
        <w:t>i c</w:t>
      </w:r>
      <w:r w:rsidRPr="007A3C8A">
        <w:rPr>
          <w:rFonts w:cs="Times New Roman"/>
          <w:szCs w:val="22"/>
          <w:lang w:eastAsia="it-IT"/>
        </w:rPr>
        <w:t>omuni</w:t>
      </w:r>
      <w:r w:rsidR="003252A8" w:rsidRPr="003252A8">
        <w:rPr>
          <w:rFonts w:cs="Times New Roman"/>
          <w:szCs w:val="22"/>
          <w:lang w:eastAsia="it-IT"/>
        </w:rPr>
        <w:t xml:space="preserve"> </w:t>
      </w:r>
      <w:r w:rsidR="003252A8" w:rsidRPr="007A3C8A">
        <w:rPr>
          <w:rFonts w:cs="Times New Roman"/>
          <w:szCs w:val="22"/>
          <w:lang w:eastAsia="it-IT"/>
        </w:rPr>
        <w:t>che ricadono nel territorio</w:t>
      </w:r>
      <w:r w:rsidR="00576A46">
        <w:rPr>
          <w:rFonts w:cs="Times New Roman"/>
          <w:szCs w:val="22"/>
          <w:lang w:eastAsia="it-IT"/>
        </w:rPr>
        <w:t xml:space="preserve"> regionale </w:t>
      </w:r>
      <w:r w:rsidRPr="004F7E69">
        <w:rPr>
          <w:rFonts w:cs="Times New Roman"/>
          <w:szCs w:val="22"/>
          <w:lang w:eastAsia="it-IT"/>
        </w:rPr>
        <w:t>che non abbiano adottato il Piano di Asse</w:t>
      </w:r>
      <w:r w:rsidRPr="00576A46">
        <w:rPr>
          <w:lang w:eastAsia="it-IT"/>
        </w:rPr>
        <w:t xml:space="preserve">tto del Territorio comunale o Intercomunale </w:t>
      </w:r>
      <w:r w:rsidR="00241893" w:rsidRPr="00576A46">
        <w:rPr>
          <w:lang w:eastAsia="it-IT"/>
        </w:rPr>
        <w:t xml:space="preserve">integrale </w:t>
      </w:r>
      <w:r w:rsidRPr="00576A46">
        <w:rPr>
          <w:lang w:eastAsia="it-IT"/>
        </w:rPr>
        <w:t>alla data</w:t>
      </w:r>
      <w:r w:rsidR="00844141">
        <w:rPr>
          <w:lang w:eastAsia="it-IT"/>
        </w:rPr>
        <w:t xml:space="preserve"> </w:t>
      </w:r>
      <w:r w:rsidR="00844141" w:rsidRPr="00844141">
        <w:t>di scadenza del presente bando</w:t>
      </w:r>
      <w:r w:rsidR="0099099C" w:rsidRPr="00576A46">
        <w:rPr>
          <w:lang w:eastAsia="it-IT"/>
        </w:rPr>
        <w:t>.</w:t>
      </w:r>
      <w:r w:rsidRPr="00576A46">
        <w:rPr>
          <w:lang w:eastAsia="it-IT"/>
        </w:rPr>
        <w:t xml:space="preserve"> </w:t>
      </w:r>
    </w:p>
    <w:p w14:paraId="23FCF00C" w14:textId="5A041764" w:rsidR="00D80A5F" w:rsidRPr="00AA0899" w:rsidRDefault="0074319A" w:rsidP="00576A46">
      <w:pPr>
        <w:suppressAutoHyphens w:val="0"/>
        <w:autoSpaceDE w:val="0"/>
        <w:autoSpaceDN w:val="0"/>
        <w:adjustRightInd w:val="0"/>
        <w:spacing w:after="0"/>
        <w:rPr>
          <w:rFonts w:cs="Times New Roman"/>
          <w:szCs w:val="22"/>
          <w:lang w:eastAsia="it-IT"/>
        </w:rPr>
      </w:pPr>
      <w:r w:rsidRPr="00AA0899">
        <w:rPr>
          <w:lang w:eastAsia="it-IT"/>
        </w:rPr>
        <w:t xml:space="preserve">Potranno altresì presentare domanda di ammissione i comuni </w:t>
      </w:r>
      <w:r w:rsidR="004A66EF" w:rsidRPr="00AA0899">
        <w:rPr>
          <w:lang w:eastAsia="it-IT"/>
        </w:rPr>
        <w:t xml:space="preserve">istituiti mediante fusione </w:t>
      </w:r>
      <w:r w:rsidRPr="00AA0899">
        <w:rPr>
          <w:lang w:eastAsia="it-IT"/>
        </w:rPr>
        <w:t>di più comuni, avvenuta ai sensi della L</w:t>
      </w:r>
      <w:r w:rsidR="00882D65">
        <w:rPr>
          <w:lang w:eastAsia="it-IT"/>
        </w:rPr>
        <w:t>.</w:t>
      </w:r>
      <w:r w:rsidRPr="00AA0899">
        <w:rPr>
          <w:lang w:eastAsia="it-IT"/>
        </w:rPr>
        <w:t>R</w:t>
      </w:r>
      <w:r w:rsidR="00882D65">
        <w:rPr>
          <w:lang w:eastAsia="it-IT"/>
        </w:rPr>
        <w:t>.</w:t>
      </w:r>
      <w:r w:rsidRPr="00AA0899">
        <w:rPr>
          <w:lang w:eastAsia="it-IT"/>
        </w:rPr>
        <w:t xml:space="preserve"> 24 dicembre </w:t>
      </w:r>
      <w:r w:rsidR="00BD6BA9">
        <w:rPr>
          <w:lang w:eastAsia="it-IT"/>
        </w:rPr>
        <w:t>1992</w:t>
      </w:r>
      <w:r w:rsidRPr="00AA0899">
        <w:rPr>
          <w:lang w:eastAsia="it-IT"/>
        </w:rPr>
        <w:t>, n.</w:t>
      </w:r>
      <w:r w:rsidR="00DF47E0" w:rsidRPr="00AA0899">
        <w:rPr>
          <w:lang w:eastAsia="it-IT"/>
        </w:rPr>
        <w:t xml:space="preserve"> </w:t>
      </w:r>
      <w:r w:rsidRPr="00AA0899">
        <w:rPr>
          <w:lang w:eastAsia="it-IT"/>
        </w:rPr>
        <w:t>25</w:t>
      </w:r>
      <w:r w:rsidR="00DF47E0" w:rsidRPr="00AA0899">
        <w:rPr>
          <w:lang w:eastAsia="it-IT"/>
        </w:rPr>
        <w:t xml:space="preserve">, </w:t>
      </w:r>
      <w:r w:rsidRPr="00AA0899">
        <w:rPr>
          <w:lang w:eastAsia="it-IT"/>
        </w:rPr>
        <w:t xml:space="preserve">ove non tutto il nuovo territorio comunale sia dotato di </w:t>
      </w:r>
      <w:r w:rsidR="004A66EF" w:rsidRPr="00AA0899">
        <w:rPr>
          <w:lang w:eastAsia="it-IT"/>
        </w:rPr>
        <w:t>Pia</w:t>
      </w:r>
      <w:r w:rsidRPr="00AA0899">
        <w:rPr>
          <w:lang w:eastAsia="it-IT"/>
        </w:rPr>
        <w:t xml:space="preserve">no di </w:t>
      </w:r>
      <w:r w:rsidR="004A66EF" w:rsidRPr="00AA0899">
        <w:rPr>
          <w:lang w:eastAsia="it-IT"/>
        </w:rPr>
        <w:t>A</w:t>
      </w:r>
      <w:r w:rsidRPr="00AA0899">
        <w:rPr>
          <w:lang w:eastAsia="it-IT"/>
        </w:rPr>
        <w:t xml:space="preserve">ssesto del </w:t>
      </w:r>
      <w:r w:rsidR="004A66EF" w:rsidRPr="00AA0899">
        <w:rPr>
          <w:lang w:eastAsia="it-IT"/>
        </w:rPr>
        <w:t>Territorio/ Piano di assetto del territorio intercomunale integrale</w:t>
      </w:r>
      <w:r w:rsidR="00176341">
        <w:rPr>
          <w:lang w:eastAsia="it-IT"/>
        </w:rPr>
        <w:t xml:space="preserve"> e che non abbiano adottato detto strumento </w:t>
      </w:r>
      <w:r w:rsidR="004A66EF" w:rsidRPr="00AA0899">
        <w:rPr>
          <w:lang w:eastAsia="it-IT"/>
        </w:rPr>
        <w:t xml:space="preserve">alla data di scadenza del presente bando. </w:t>
      </w:r>
      <w:r w:rsidRPr="00AA0899">
        <w:rPr>
          <w:lang w:eastAsia="it-IT"/>
        </w:rPr>
        <w:t xml:space="preserve"> </w:t>
      </w:r>
    </w:p>
    <w:p w14:paraId="3044C73C" w14:textId="77777777" w:rsidR="00620ED6" w:rsidRDefault="00620ED6" w:rsidP="002021B5">
      <w:pPr>
        <w:rPr>
          <w:rFonts w:cs="Times New Roman"/>
          <w:b/>
          <w:szCs w:val="22"/>
          <w:lang w:eastAsia="it-IT"/>
        </w:rPr>
      </w:pPr>
    </w:p>
    <w:p w14:paraId="4033E75C" w14:textId="5EE51137" w:rsidR="005B4E93" w:rsidRPr="00B81149" w:rsidRDefault="00620ED6" w:rsidP="002021B5">
      <w:pPr>
        <w:rPr>
          <w:rFonts w:cs="Times New Roman"/>
          <w:b/>
          <w:szCs w:val="22"/>
          <w:lang w:eastAsia="it-IT"/>
        </w:rPr>
      </w:pPr>
      <w:r>
        <w:rPr>
          <w:rFonts w:cs="Times New Roman"/>
          <w:b/>
          <w:szCs w:val="22"/>
          <w:lang w:eastAsia="it-IT"/>
        </w:rPr>
        <w:t xml:space="preserve">3. </w:t>
      </w:r>
      <w:r w:rsidR="00885F3D">
        <w:rPr>
          <w:rFonts w:cs="Times New Roman"/>
          <w:b/>
          <w:szCs w:val="22"/>
          <w:lang w:eastAsia="it-IT"/>
        </w:rPr>
        <w:t xml:space="preserve">Ammontare del contributo e </w:t>
      </w:r>
      <w:r w:rsidR="00885F3D">
        <w:rPr>
          <w:rFonts w:cs="Times New Roman"/>
          <w:b/>
          <w:bCs/>
          <w:szCs w:val="22"/>
          <w:lang w:eastAsia="it-IT"/>
        </w:rPr>
        <w:t>s</w:t>
      </w:r>
      <w:r w:rsidR="00885F3D" w:rsidRPr="005B4E93">
        <w:rPr>
          <w:rFonts w:cs="Times New Roman"/>
          <w:b/>
          <w:bCs/>
          <w:szCs w:val="22"/>
          <w:lang w:eastAsia="it-IT"/>
        </w:rPr>
        <w:t>pese ammissibili</w:t>
      </w:r>
    </w:p>
    <w:p w14:paraId="034374EA" w14:textId="66E2FEBC" w:rsidR="00F51868" w:rsidRPr="00A175E3" w:rsidRDefault="006A3893" w:rsidP="00B81149">
      <w:pPr>
        <w:rPr>
          <w:rFonts w:cs="Times New Roman"/>
          <w:szCs w:val="22"/>
          <w:lang w:eastAsia="it-IT"/>
        </w:rPr>
      </w:pPr>
      <w:r>
        <w:rPr>
          <w:rFonts w:cs="Times New Roman"/>
          <w:szCs w:val="22"/>
          <w:lang w:eastAsia="it-IT"/>
        </w:rPr>
        <w:t>Ai c</w:t>
      </w:r>
      <w:r w:rsidR="002021B5" w:rsidRPr="00B81149">
        <w:rPr>
          <w:rFonts w:cs="Times New Roman"/>
          <w:szCs w:val="22"/>
          <w:lang w:eastAsia="it-IT"/>
        </w:rPr>
        <w:t>omuni</w:t>
      </w:r>
      <w:r w:rsidR="004A66EF">
        <w:rPr>
          <w:rFonts w:cs="Times New Roman"/>
          <w:szCs w:val="22"/>
          <w:lang w:eastAsia="it-IT"/>
        </w:rPr>
        <w:t xml:space="preserve">, </w:t>
      </w:r>
      <w:bookmarkStart w:id="0" w:name="_Hlk190956139"/>
      <w:r w:rsidR="004A66EF" w:rsidRPr="00BD6BA9">
        <w:rPr>
          <w:rFonts w:cs="Times New Roman"/>
          <w:szCs w:val="22"/>
          <w:lang w:eastAsia="it-IT"/>
        </w:rPr>
        <w:t>compresi quelli istituiti per fusione di più comuni</w:t>
      </w:r>
      <w:bookmarkEnd w:id="0"/>
      <w:r w:rsidR="004A66EF">
        <w:rPr>
          <w:rFonts w:cs="Times New Roman"/>
          <w:szCs w:val="22"/>
          <w:lang w:eastAsia="it-IT"/>
        </w:rPr>
        <w:t xml:space="preserve">, </w:t>
      </w:r>
      <w:r w:rsidR="002021B5" w:rsidRPr="00B81149">
        <w:rPr>
          <w:rFonts w:cs="Times New Roman"/>
          <w:szCs w:val="22"/>
          <w:lang w:eastAsia="it-IT"/>
        </w:rPr>
        <w:t xml:space="preserve">ammessi al contributo è riconosciuto un importo pari a </w:t>
      </w:r>
      <w:r w:rsidR="00882D65">
        <w:rPr>
          <w:rFonts w:cs="Times New Roman"/>
          <w:szCs w:val="22"/>
          <w:lang w:eastAsia="it-IT"/>
        </w:rPr>
        <w:t>e</w:t>
      </w:r>
      <w:r w:rsidR="002021B5" w:rsidRPr="00B81149">
        <w:rPr>
          <w:rFonts w:cs="Times New Roman"/>
          <w:szCs w:val="22"/>
          <w:lang w:eastAsia="it-IT"/>
        </w:rPr>
        <w:t xml:space="preserve">uro </w:t>
      </w:r>
      <w:r w:rsidR="001629E6" w:rsidRPr="00A175E3">
        <w:rPr>
          <w:rFonts w:cs="Times New Roman"/>
          <w:szCs w:val="22"/>
          <w:lang w:eastAsia="it-IT"/>
        </w:rPr>
        <w:t>1</w:t>
      </w:r>
      <w:r w:rsidR="00441727" w:rsidRPr="00A175E3">
        <w:rPr>
          <w:rFonts w:cs="Times New Roman"/>
          <w:szCs w:val="22"/>
          <w:lang w:eastAsia="it-IT"/>
        </w:rPr>
        <w:t>4</w:t>
      </w:r>
      <w:r w:rsidR="00160A2C" w:rsidRPr="00A175E3">
        <w:rPr>
          <w:rFonts w:cs="Times New Roman"/>
          <w:szCs w:val="22"/>
          <w:lang w:eastAsia="it-IT"/>
        </w:rPr>
        <w:t>.000</w:t>
      </w:r>
      <w:r w:rsidR="006409FB" w:rsidRPr="00A175E3">
        <w:rPr>
          <w:rFonts w:cs="Times New Roman"/>
          <w:szCs w:val="22"/>
          <w:lang w:eastAsia="it-IT"/>
        </w:rPr>
        <w:t>,00</w:t>
      </w:r>
      <w:r w:rsidR="00160A2C" w:rsidRPr="00A175E3">
        <w:rPr>
          <w:rFonts w:cs="Times New Roman"/>
          <w:szCs w:val="22"/>
          <w:lang w:eastAsia="it-IT"/>
        </w:rPr>
        <w:t xml:space="preserve"> </w:t>
      </w:r>
      <w:r w:rsidR="001629E6" w:rsidRPr="00A175E3">
        <w:rPr>
          <w:rFonts w:eastAsia="TimesNewRoman-Identity-H" w:cs="Times New Roman"/>
          <w:szCs w:val="22"/>
          <w:lang w:eastAsia="it-IT"/>
        </w:rPr>
        <w:t>(qu</w:t>
      </w:r>
      <w:r w:rsidR="00BF0405" w:rsidRPr="00A175E3">
        <w:rPr>
          <w:rFonts w:eastAsia="TimesNewRoman-Identity-H" w:cs="Times New Roman"/>
          <w:szCs w:val="22"/>
          <w:lang w:eastAsia="it-IT"/>
        </w:rPr>
        <w:t>attordici</w:t>
      </w:r>
      <w:r w:rsidR="001629E6" w:rsidRPr="00A175E3">
        <w:rPr>
          <w:rFonts w:eastAsia="TimesNewRoman-Identity-H" w:cs="Times New Roman"/>
          <w:szCs w:val="22"/>
          <w:lang w:eastAsia="it-IT"/>
        </w:rPr>
        <w:t>mila</w:t>
      </w:r>
      <w:r w:rsidR="00C85CA6" w:rsidRPr="00A175E3">
        <w:rPr>
          <w:rFonts w:eastAsia="TimesNewRoman-Identity-H" w:cs="Times New Roman"/>
          <w:szCs w:val="22"/>
          <w:lang w:eastAsia="it-IT"/>
        </w:rPr>
        <w:t>/</w:t>
      </w:r>
      <w:r w:rsidR="00F00D33" w:rsidRPr="00A175E3">
        <w:rPr>
          <w:rFonts w:eastAsia="TimesNewRoman-Identity-H" w:cs="Times New Roman"/>
          <w:szCs w:val="22"/>
          <w:lang w:eastAsia="it-IT"/>
        </w:rPr>
        <w:t>00)</w:t>
      </w:r>
      <w:r w:rsidR="00BD6BA9">
        <w:rPr>
          <w:rFonts w:eastAsia="TimesNewRoman-Identity-H" w:cs="Times New Roman"/>
          <w:szCs w:val="22"/>
          <w:lang w:eastAsia="it-IT"/>
        </w:rPr>
        <w:t>,</w:t>
      </w:r>
      <w:r w:rsidR="00F51868" w:rsidRPr="00A175E3">
        <w:rPr>
          <w:rFonts w:eastAsia="TimesNewRoman-Identity-H" w:cs="Times New Roman"/>
          <w:szCs w:val="22"/>
          <w:lang w:eastAsia="it-IT"/>
        </w:rPr>
        <w:t xml:space="preserve"> fino al limite massimo complessivo di </w:t>
      </w:r>
      <w:r w:rsidR="00882D65">
        <w:rPr>
          <w:rFonts w:eastAsia="TimesNewRoman-Identity-H" w:cs="Times New Roman"/>
          <w:szCs w:val="22"/>
          <w:lang w:eastAsia="it-IT"/>
        </w:rPr>
        <w:t>e</w:t>
      </w:r>
      <w:r w:rsidR="00F51868" w:rsidRPr="00A175E3">
        <w:rPr>
          <w:rFonts w:eastAsia="TimesNewRoman-Identity-H" w:cs="Times New Roman"/>
          <w:szCs w:val="22"/>
          <w:lang w:eastAsia="it-IT"/>
        </w:rPr>
        <w:t>uro</w:t>
      </w:r>
      <w:r w:rsidR="00B81149" w:rsidRPr="00A175E3">
        <w:rPr>
          <w:rFonts w:eastAsia="TimesNewRoman-Identity-H" w:cs="Times New Roman"/>
          <w:szCs w:val="22"/>
          <w:lang w:eastAsia="it-IT"/>
        </w:rPr>
        <w:t xml:space="preserve"> </w:t>
      </w:r>
      <w:r w:rsidR="00EF3198">
        <w:rPr>
          <w:rFonts w:eastAsia="TimesNewRoman-Identity-H" w:cs="Times New Roman"/>
          <w:szCs w:val="22"/>
          <w:lang w:eastAsia="it-IT"/>
        </w:rPr>
        <w:t>8</w:t>
      </w:r>
      <w:r w:rsidR="00AA0899">
        <w:rPr>
          <w:rFonts w:eastAsia="TimesNewRoman-Identity-H" w:cs="Times New Roman"/>
          <w:szCs w:val="22"/>
          <w:lang w:eastAsia="it-IT"/>
        </w:rPr>
        <w:t>4</w:t>
      </w:r>
      <w:r w:rsidR="003A1B21" w:rsidRPr="00A175E3">
        <w:rPr>
          <w:rFonts w:eastAsia="TimesNewRoman-Identity-H" w:cs="Times New Roman"/>
          <w:szCs w:val="22"/>
          <w:lang w:eastAsia="it-IT"/>
        </w:rPr>
        <w:t>.0</w:t>
      </w:r>
      <w:r w:rsidR="00B81149" w:rsidRPr="00A175E3">
        <w:rPr>
          <w:rFonts w:eastAsia="TimesNewRoman-Identity-H" w:cs="Times New Roman"/>
          <w:szCs w:val="22"/>
          <w:lang w:eastAsia="it-IT"/>
        </w:rPr>
        <w:t>00</w:t>
      </w:r>
      <w:r w:rsidR="006409FB" w:rsidRPr="00A175E3">
        <w:rPr>
          <w:rFonts w:eastAsia="TimesNewRoman-Identity-H" w:cs="Times New Roman"/>
          <w:szCs w:val="22"/>
          <w:lang w:eastAsia="it-IT"/>
        </w:rPr>
        <w:t>,00</w:t>
      </w:r>
      <w:r w:rsidR="00F51868" w:rsidRPr="00A175E3">
        <w:rPr>
          <w:rFonts w:eastAsia="TimesNewRoman-Identity-H" w:cs="Times New Roman"/>
          <w:szCs w:val="22"/>
          <w:lang w:eastAsia="it-IT"/>
        </w:rPr>
        <w:t>.</w:t>
      </w:r>
    </w:p>
    <w:p w14:paraId="2A83DEDC" w14:textId="77777777" w:rsidR="004C184A" w:rsidRDefault="002021B5" w:rsidP="00885F3D">
      <w:pPr>
        <w:suppressAutoHyphens w:val="0"/>
        <w:autoSpaceDE w:val="0"/>
        <w:autoSpaceDN w:val="0"/>
        <w:adjustRightInd w:val="0"/>
        <w:spacing w:after="0"/>
        <w:rPr>
          <w:rFonts w:cs="Times New Roman"/>
          <w:szCs w:val="22"/>
          <w:lang w:eastAsia="it-IT"/>
        </w:rPr>
      </w:pPr>
      <w:r w:rsidRPr="00B81149">
        <w:rPr>
          <w:rFonts w:cs="Times New Roman"/>
          <w:szCs w:val="22"/>
          <w:lang w:eastAsia="it-IT"/>
        </w:rPr>
        <w:t xml:space="preserve">I contributi </w:t>
      </w:r>
      <w:r w:rsidRPr="00B81149">
        <w:rPr>
          <w:rFonts w:eastAsia="TimesNewRoman-Identity-H" w:cs="Times New Roman"/>
          <w:szCs w:val="22"/>
          <w:lang w:eastAsia="it-IT"/>
        </w:rPr>
        <w:t>saranno erogati in base all’ordine dell</w:t>
      </w:r>
      <w:r w:rsidR="00F51868" w:rsidRPr="00B81149">
        <w:rPr>
          <w:rFonts w:cs="Times New Roman"/>
          <w:szCs w:val="22"/>
          <w:lang w:eastAsia="it-IT"/>
        </w:rPr>
        <w:t>a graduatoria approvata</w:t>
      </w:r>
      <w:r w:rsidRPr="00B81149">
        <w:rPr>
          <w:rFonts w:cs="Times New Roman"/>
          <w:szCs w:val="22"/>
          <w:lang w:eastAsia="it-IT"/>
        </w:rPr>
        <w:t xml:space="preserve"> con </w:t>
      </w:r>
      <w:r w:rsidR="00620ED6">
        <w:rPr>
          <w:rFonts w:cs="Times New Roman"/>
          <w:szCs w:val="22"/>
          <w:lang w:eastAsia="it-IT"/>
        </w:rPr>
        <w:t>decreto</w:t>
      </w:r>
      <w:r w:rsidRPr="00B81149">
        <w:rPr>
          <w:rFonts w:cs="Times New Roman"/>
          <w:szCs w:val="22"/>
          <w:lang w:eastAsia="it-IT"/>
        </w:rPr>
        <w:t xml:space="preserve"> del Direttore della Direzione Pianificazione Territoriale e fino ad esaurimento </w:t>
      </w:r>
      <w:r w:rsidR="00EA2706">
        <w:rPr>
          <w:rFonts w:cs="Times New Roman"/>
          <w:szCs w:val="22"/>
          <w:lang w:eastAsia="it-IT"/>
        </w:rPr>
        <w:t>delle disponibilità finanziarie</w:t>
      </w:r>
      <w:r w:rsidR="00006C60">
        <w:rPr>
          <w:rFonts w:cs="Times New Roman"/>
          <w:szCs w:val="22"/>
          <w:lang w:eastAsia="it-IT"/>
        </w:rPr>
        <w:t>.</w:t>
      </w:r>
      <w:r w:rsidRPr="00B81149">
        <w:rPr>
          <w:rFonts w:cs="Times New Roman"/>
          <w:szCs w:val="22"/>
          <w:lang w:eastAsia="it-IT"/>
        </w:rPr>
        <w:t xml:space="preserve"> </w:t>
      </w:r>
    </w:p>
    <w:p w14:paraId="74C15516" w14:textId="77777777" w:rsidR="00885F3D" w:rsidRPr="00885F3D" w:rsidRDefault="00885F3D" w:rsidP="00885F3D">
      <w:pPr>
        <w:suppressAutoHyphens w:val="0"/>
        <w:autoSpaceDE w:val="0"/>
        <w:autoSpaceDN w:val="0"/>
        <w:adjustRightInd w:val="0"/>
        <w:spacing w:after="0"/>
        <w:rPr>
          <w:szCs w:val="22"/>
        </w:rPr>
      </w:pPr>
    </w:p>
    <w:p w14:paraId="21FC487B" w14:textId="60692492" w:rsidR="005B4E93" w:rsidRPr="005B4E93" w:rsidRDefault="005B4E93" w:rsidP="00E82656">
      <w:pPr>
        <w:suppressAutoHyphens w:val="0"/>
        <w:autoSpaceDE w:val="0"/>
        <w:autoSpaceDN w:val="0"/>
        <w:adjustRightInd w:val="0"/>
        <w:spacing w:after="0"/>
        <w:rPr>
          <w:rFonts w:cs="Times New Roman"/>
          <w:szCs w:val="22"/>
          <w:lang w:eastAsia="it-IT"/>
        </w:rPr>
      </w:pPr>
      <w:r w:rsidRPr="005B4E93">
        <w:rPr>
          <w:rFonts w:cs="Times New Roman"/>
          <w:szCs w:val="22"/>
          <w:lang w:eastAsia="it-IT"/>
        </w:rPr>
        <w:lastRenderedPageBreak/>
        <w:t>Sono ammissi</w:t>
      </w:r>
      <w:r w:rsidR="00E82656">
        <w:rPr>
          <w:rFonts w:cs="Times New Roman"/>
          <w:szCs w:val="22"/>
          <w:lang w:eastAsia="it-IT"/>
        </w:rPr>
        <w:t>bili a contributo l</w:t>
      </w:r>
      <w:r w:rsidRPr="005B4E93">
        <w:rPr>
          <w:rFonts w:cs="Times New Roman"/>
          <w:szCs w:val="22"/>
          <w:lang w:eastAsia="it-IT"/>
        </w:rPr>
        <w:t>e spese sostenute per</w:t>
      </w:r>
      <w:r w:rsidR="00E82656">
        <w:rPr>
          <w:rFonts w:cs="Times New Roman"/>
          <w:szCs w:val="22"/>
          <w:lang w:eastAsia="it-IT"/>
        </w:rPr>
        <w:t xml:space="preserve"> la redazione del </w:t>
      </w:r>
      <w:r w:rsidR="00E82656" w:rsidRPr="00E82656">
        <w:rPr>
          <w:rFonts w:cs="Times New Roman"/>
          <w:szCs w:val="22"/>
          <w:lang w:eastAsia="it-IT"/>
        </w:rPr>
        <w:t>Pian</w:t>
      </w:r>
      <w:r w:rsidR="00E82656">
        <w:rPr>
          <w:rFonts w:cs="Times New Roman"/>
          <w:szCs w:val="22"/>
          <w:lang w:eastAsia="it-IT"/>
        </w:rPr>
        <w:t xml:space="preserve">o di Assetto del Territorio/del </w:t>
      </w:r>
      <w:r w:rsidR="00E82656" w:rsidRPr="00E82656">
        <w:rPr>
          <w:rFonts w:cs="Times New Roman"/>
          <w:szCs w:val="22"/>
          <w:lang w:eastAsia="it-IT"/>
        </w:rPr>
        <w:t>Piano di Assetto del Territorio Intercomunale integrale ai sensi della L</w:t>
      </w:r>
      <w:r w:rsidR="006A3893">
        <w:rPr>
          <w:rFonts w:cs="Times New Roman"/>
          <w:szCs w:val="22"/>
          <w:lang w:eastAsia="it-IT"/>
        </w:rPr>
        <w:t>.</w:t>
      </w:r>
      <w:r w:rsidR="00E82656" w:rsidRPr="00E82656">
        <w:rPr>
          <w:rFonts w:cs="Times New Roman"/>
          <w:szCs w:val="22"/>
          <w:lang w:eastAsia="it-IT"/>
        </w:rPr>
        <w:t>R</w:t>
      </w:r>
      <w:r w:rsidR="006A3893">
        <w:rPr>
          <w:rFonts w:cs="Times New Roman"/>
          <w:szCs w:val="22"/>
          <w:lang w:eastAsia="it-IT"/>
        </w:rPr>
        <w:t xml:space="preserve">. n. </w:t>
      </w:r>
      <w:r w:rsidR="00E82656" w:rsidRPr="00E82656">
        <w:rPr>
          <w:rFonts w:cs="Times New Roman"/>
          <w:szCs w:val="22"/>
          <w:lang w:eastAsia="it-IT"/>
        </w:rPr>
        <w:t>11/2004</w:t>
      </w:r>
      <w:r w:rsidR="00E82656">
        <w:rPr>
          <w:rFonts w:cs="Times New Roman"/>
          <w:szCs w:val="22"/>
          <w:lang w:eastAsia="it-IT"/>
        </w:rPr>
        <w:t xml:space="preserve"> quali, a</w:t>
      </w:r>
      <w:r w:rsidR="00DF2DC0">
        <w:rPr>
          <w:rFonts w:cs="Times New Roman"/>
          <w:szCs w:val="22"/>
          <w:lang w:eastAsia="it-IT"/>
        </w:rPr>
        <w:t xml:space="preserve"> </w:t>
      </w:r>
      <w:r w:rsidR="00E82656">
        <w:rPr>
          <w:rFonts w:cs="Times New Roman"/>
          <w:szCs w:val="22"/>
          <w:lang w:eastAsia="it-IT"/>
        </w:rPr>
        <w:t>titolo esemplificativo, le</w:t>
      </w:r>
      <w:r w:rsidR="00DF2DC0">
        <w:rPr>
          <w:rFonts w:cs="Times New Roman"/>
          <w:szCs w:val="22"/>
          <w:lang w:eastAsia="it-IT"/>
        </w:rPr>
        <w:t xml:space="preserve"> s</w:t>
      </w:r>
      <w:r w:rsidR="00E82656">
        <w:rPr>
          <w:rFonts w:cs="Times New Roman"/>
          <w:szCs w:val="22"/>
          <w:lang w:eastAsia="it-IT"/>
        </w:rPr>
        <w:t xml:space="preserve">pese relative alla elaborazione delle analisi territoriali specialistiche (geologiche, sismiche, dissesto idrogeologico, agronomiche, ambientali ecc.), </w:t>
      </w:r>
      <w:r w:rsidR="00D879CD">
        <w:rPr>
          <w:rFonts w:cs="Times New Roman"/>
          <w:szCs w:val="22"/>
          <w:lang w:eastAsia="it-IT"/>
        </w:rPr>
        <w:t>all’</w:t>
      </w:r>
      <w:r w:rsidR="00E82656">
        <w:rPr>
          <w:rFonts w:cs="Times New Roman"/>
          <w:szCs w:val="22"/>
          <w:lang w:eastAsia="it-IT"/>
        </w:rPr>
        <w:t xml:space="preserve">elaborazione del </w:t>
      </w:r>
      <w:r w:rsidR="00D879CD">
        <w:rPr>
          <w:rFonts w:cs="Times New Roman"/>
          <w:szCs w:val="22"/>
          <w:lang w:eastAsia="it-IT"/>
        </w:rPr>
        <w:t>quadro conoscitivo, del rapporto ambientale, della documentaz</w:t>
      </w:r>
      <w:r w:rsidR="009D55C7">
        <w:rPr>
          <w:rFonts w:cs="Times New Roman"/>
          <w:szCs w:val="22"/>
          <w:lang w:eastAsia="it-IT"/>
        </w:rPr>
        <w:t>ione progettuale (t</w:t>
      </w:r>
      <w:r w:rsidR="00D879CD">
        <w:rPr>
          <w:rFonts w:cs="Times New Roman"/>
          <w:szCs w:val="22"/>
          <w:lang w:eastAsia="it-IT"/>
        </w:rPr>
        <w:t>avole, norme tecniche, relazioni</w:t>
      </w:r>
      <w:r w:rsidR="009D55C7">
        <w:rPr>
          <w:rFonts w:cs="Times New Roman"/>
          <w:szCs w:val="22"/>
          <w:lang w:eastAsia="it-IT"/>
        </w:rPr>
        <w:t xml:space="preserve"> tecniche</w:t>
      </w:r>
      <w:r w:rsidR="00D879CD">
        <w:rPr>
          <w:rFonts w:cs="Times New Roman"/>
          <w:szCs w:val="22"/>
          <w:lang w:eastAsia="it-IT"/>
        </w:rPr>
        <w:t>,</w:t>
      </w:r>
      <w:r w:rsidR="009D55C7">
        <w:rPr>
          <w:rFonts w:cs="Times New Roman"/>
          <w:szCs w:val="22"/>
          <w:lang w:eastAsia="it-IT"/>
        </w:rPr>
        <w:t xml:space="preserve"> </w:t>
      </w:r>
      <w:r w:rsidR="00D879CD">
        <w:rPr>
          <w:rFonts w:cs="Times New Roman"/>
          <w:szCs w:val="22"/>
          <w:lang w:eastAsia="it-IT"/>
        </w:rPr>
        <w:t>ecc</w:t>
      </w:r>
      <w:r w:rsidR="006409FB">
        <w:rPr>
          <w:rFonts w:cs="Times New Roman"/>
          <w:szCs w:val="22"/>
          <w:lang w:eastAsia="it-IT"/>
        </w:rPr>
        <w:t>.</w:t>
      </w:r>
      <w:r w:rsidR="00D879CD">
        <w:rPr>
          <w:rFonts w:cs="Times New Roman"/>
          <w:szCs w:val="22"/>
          <w:lang w:eastAsia="it-IT"/>
        </w:rPr>
        <w:t xml:space="preserve">).  </w:t>
      </w:r>
      <w:r w:rsidR="00E82656">
        <w:rPr>
          <w:rFonts w:cs="Times New Roman"/>
          <w:szCs w:val="22"/>
          <w:lang w:eastAsia="it-IT"/>
        </w:rPr>
        <w:t xml:space="preserve"> </w:t>
      </w:r>
    </w:p>
    <w:p w14:paraId="7DD58760" w14:textId="32B941D2" w:rsidR="005B4E93" w:rsidRPr="00720F58" w:rsidRDefault="005B4E93" w:rsidP="005B4E93">
      <w:pPr>
        <w:spacing w:before="240"/>
        <w:contextualSpacing/>
      </w:pPr>
    </w:p>
    <w:p w14:paraId="4185941A" w14:textId="763BC83A" w:rsidR="00620ED6" w:rsidRDefault="00885F3D" w:rsidP="00620ED6">
      <w:pPr>
        <w:suppressAutoHyphens w:val="0"/>
        <w:autoSpaceDE w:val="0"/>
        <w:autoSpaceDN w:val="0"/>
        <w:adjustRightInd w:val="0"/>
        <w:spacing w:after="0"/>
        <w:jc w:val="left"/>
        <w:rPr>
          <w:rFonts w:cs="Times New Roman"/>
          <w:b/>
          <w:bCs/>
          <w:szCs w:val="22"/>
          <w:lang w:eastAsia="it-IT"/>
        </w:rPr>
      </w:pPr>
      <w:r>
        <w:rPr>
          <w:rFonts w:cs="Times New Roman"/>
          <w:b/>
          <w:bCs/>
          <w:szCs w:val="22"/>
          <w:lang w:eastAsia="it-IT"/>
        </w:rPr>
        <w:t>4</w:t>
      </w:r>
      <w:r w:rsidR="00620ED6">
        <w:rPr>
          <w:rFonts w:cs="Times New Roman"/>
          <w:b/>
          <w:bCs/>
          <w:szCs w:val="22"/>
          <w:lang w:eastAsia="it-IT"/>
        </w:rPr>
        <w:t xml:space="preserve">. </w:t>
      </w:r>
      <w:r>
        <w:rPr>
          <w:rFonts w:cs="Times New Roman"/>
          <w:b/>
          <w:bCs/>
          <w:szCs w:val="22"/>
          <w:lang w:eastAsia="it-IT"/>
        </w:rPr>
        <w:t>Modalità di p</w:t>
      </w:r>
      <w:r w:rsidR="00620ED6">
        <w:rPr>
          <w:rFonts w:cs="Times New Roman"/>
          <w:b/>
          <w:bCs/>
          <w:szCs w:val="22"/>
          <w:lang w:eastAsia="it-IT"/>
        </w:rPr>
        <w:t>resentazione delle domande</w:t>
      </w:r>
      <w:r w:rsidR="00620ED6" w:rsidRPr="00620ED6">
        <w:rPr>
          <w:rFonts w:cs="Times New Roman"/>
          <w:b/>
          <w:bCs/>
          <w:szCs w:val="22"/>
          <w:lang w:eastAsia="it-IT"/>
        </w:rPr>
        <w:t xml:space="preserve"> di ammissione al contributo</w:t>
      </w:r>
    </w:p>
    <w:p w14:paraId="65C6C605" w14:textId="77777777" w:rsidR="00620ED6" w:rsidRDefault="00620ED6" w:rsidP="00620ED6">
      <w:pPr>
        <w:suppressAutoHyphens w:val="0"/>
        <w:autoSpaceDE w:val="0"/>
        <w:autoSpaceDN w:val="0"/>
        <w:adjustRightInd w:val="0"/>
        <w:spacing w:after="0"/>
        <w:jc w:val="left"/>
        <w:rPr>
          <w:rFonts w:cs="Times New Roman"/>
          <w:b/>
          <w:bCs/>
          <w:szCs w:val="22"/>
          <w:lang w:eastAsia="it-IT"/>
        </w:rPr>
      </w:pPr>
    </w:p>
    <w:p w14:paraId="3877ABE0" w14:textId="7B36A097" w:rsidR="00620ED6" w:rsidRPr="00635655" w:rsidRDefault="00620ED6" w:rsidP="00006C60">
      <w:pPr>
        <w:spacing w:after="0"/>
        <w:rPr>
          <w:strike/>
        </w:rPr>
      </w:pPr>
      <w:r w:rsidRPr="00BE514C">
        <w:t>Le</w:t>
      </w:r>
      <w:r w:rsidR="00FE3FCE" w:rsidRPr="00BE514C">
        <w:t xml:space="preserve"> doman</w:t>
      </w:r>
      <w:r w:rsidRPr="00BE514C">
        <w:t xml:space="preserve">de sono presentate </w:t>
      </w:r>
      <w:r w:rsidR="00885F3D" w:rsidRPr="00BE514C">
        <w:t>dai Comuni di cui al punto 2</w:t>
      </w:r>
      <w:r w:rsidR="00FE3FCE" w:rsidRPr="00BE514C">
        <w:t xml:space="preserve"> entro e non oltre il trentesimo giorno dalla </w:t>
      </w:r>
      <w:r w:rsidRPr="00BE514C">
        <w:t xml:space="preserve">data di </w:t>
      </w:r>
      <w:r w:rsidR="00FE3FCE" w:rsidRPr="00BE514C">
        <w:t xml:space="preserve">pubblicazione del </w:t>
      </w:r>
      <w:r w:rsidR="00FE3FCE" w:rsidRPr="00635655">
        <w:t xml:space="preserve">presente </w:t>
      </w:r>
      <w:r w:rsidR="00006C60" w:rsidRPr="00635655">
        <w:t>Bando</w:t>
      </w:r>
      <w:r w:rsidR="004F7E69" w:rsidRPr="004F7E69">
        <w:t xml:space="preserve"> nel Bollettino Ufficiale della Regione Veneto e sul sito istituzionale www.regione.veneto.it alla pagina Bandi, Avvisi e Concorsi</w:t>
      </w:r>
      <w:r w:rsidRPr="00BE514C">
        <w:t xml:space="preserve">, </w:t>
      </w:r>
      <w:r w:rsidR="00160EEE">
        <w:t xml:space="preserve">esclusivamente </w:t>
      </w:r>
      <w:r w:rsidR="00006C60" w:rsidRPr="00BE514C">
        <w:t xml:space="preserve">utilizzando la modulistica </w:t>
      </w:r>
      <w:r w:rsidR="00635655">
        <w:t xml:space="preserve">ivi </w:t>
      </w:r>
      <w:r w:rsidR="00006C60" w:rsidRPr="00BE514C">
        <w:t>pubblicata</w:t>
      </w:r>
      <w:r w:rsidR="00635655">
        <w:t>.</w:t>
      </w:r>
      <w:r w:rsidR="00006C60" w:rsidRPr="00BE514C">
        <w:t xml:space="preserve"> </w:t>
      </w:r>
    </w:p>
    <w:p w14:paraId="2030F260" w14:textId="0B95612C" w:rsidR="00620ED6" w:rsidRPr="00BE514C" w:rsidRDefault="00620ED6" w:rsidP="00006C60">
      <w:pPr>
        <w:spacing w:after="0"/>
      </w:pPr>
      <w:r w:rsidRPr="00BE514C">
        <w:t>Le domande pervenute successivamente a detto termine saranno considerate come non ricevibili.</w:t>
      </w:r>
    </w:p>
    <w:p w14:paraId="7ECA3BED" w14:textId="0EE6DFE1" w:rsidR="00620ED6" w:rsidRPr="00BE514C" w:rsidRDefault="00620ED6" w:rsidP="00006C60">
      <w:pPr>
        <w:spacing w:after="0"/>
      </w:pPr>
    </w:p>
    <w:p w14:paraId="160B36C7" w14:textId="0241FD0B" w:rsidR="00620ED6" w:rsidRPr="00BE514C" w:rsidRDefault="00620ED6" w:rsidP="00620ED6">
      <w:r w:rsidRPr="00BE514C">
        <w:t xml:space="preserve">Le domande dovranno essere inviate al seguente indirizzo: </w:t>
      </w:r>
    </w:p>
    <w:p w14:paraId="47412AF6" w14:textId="77777777" w:rsidR="00620ED6" w:rsidRPr="00BE514C" w:rsidRDefault="00620ED6" w:rsidP="00620ED6">
      <w:pPr>
        <w:jc w:val="center"/>
      </w:pPr>
      <w:r w:rsidRPr="00BE514C">
        <w:rPr>
          <w:b/>
        </w:rPr>
        <w:t>pianificazioneterritoriale@pec.regione.veneto.it</w:t>
      </w:r>
    </w:p>
    <w:p w14:paraId="2A1A01D3" w14:textId="77777777" w:rsidR="00620ED6" w:rsidRPr="00BE514C" w:rsidRDefault="00620ED6" w:rsidP="00620ED6">
      <w:r w:rsidRPr="00BE514C">
        <w:t>e dovranno riportare nell’oggetto della PEC la seguente dicitura:</w:t>
      </w:r>
    </w:p>
    <w:p w14:paraId="6C18D196" w14:textId="522F9676" w:rsidR="009136D8" w:rsidRPr="00BE514C" w:rsidRDefault="00620ED6" w:rsidP="00FE43D2">
      <w:pPr>
        <w:spacing w:after="0"/>
        <w:ind w:left="2126" w:hanging="2126"/>
        <w:jc w:val="center"/>
        <w:rPr>
          <w:b/>
          <w:i/>
        </w:rPr>
      </w:pPr>
      <w:r w:rsidRPr="00BE514C">
        <w:rPr>
          <w:b/>
        </w:rPr>
        <w:t>“</w:t>
      </w:r>
      <w:r w:rsidRPr="00BE514C">
        <w:rPr>
          <w:b/>
          <w:i/>
        </w:rPr>
        <w:t xml:space="preserve">L.R. </w:t>
      </w:r>
      <w:r w:rsidR="00EB4D4F">
        <w:rPr>
          <w:b/>
          <w:i/>
        </w:rPr>
        <w:t xml:space="preserve">n. </w:t>
      </w:r>
      <w:r w:rsidRPr="00BE514C">
        <w:rPr>
          <w:b/>
          <w:i/>
        </w:rPr>
        <w:t>11/2004 art. 47</w:t>
      </w:r>
    </w:p>
    <w:p w14:paraId="17A83A4F" w14:textId="77777777" w:rsidR="00FE43D2" w:rsidRDefault="00620ED6" w:rsidP="00FE43D2">
      <w:pPr>
        <w:spacing w:after="0"/>
        <w:ind w:left="2126" w:hanging="2126"/>
        <w:jc w:val="center"/>
        <w:rPr>
          <w:b/>
          <w:bCs/>
          <w:i/>
        </w:rPr>
      </w:pPr>
      <w:r w:rsidRPr="00BE514C">
        <w:rPr>
          <w:b/>
          <w:i/>
        </w:rPr>
        <w:t xml:space="preserve">Bando a favore </w:t>
      </w:r>
      <w:r w:rsidRPr="00BE514C">
        <w:rPr>
          <w:b/>
          <w:bCs/>
          <w:i/>
        </w:rPr>
        <w:t xml:space="preserve">dei comuni per </w:t>
      </w:r>
      <w:r w:rsidR="00885F3D" w:rsidRPr="00BE514C">
        <w:rPr>
          <w:b/>
          <w:bCs/>
          <w:i/>
        </w:rPr>
        <w:t>la redazione</w:t>
      </w:r>
      <w:r w:rsidRPr="00BE514C">
        <w:rPr>
          <w:b/>
          <w:bCs/>
          <w:i/>
        </w:rPr>
        <w:t xml:space="preserve"> del Piano di Assetto del Territorio</w:t>
      </w:r>
      <w:r w:rsidR="00885F3D" w:rsidRPr="00BE514C">
        <w:t xml:space="preserve"> </w:t>
      </w:r>
      <w:r w:rsidR="00FE43D2">
        <w:rPr>
          <w:b/>
          <w:bCs/>
          <w:i/>
        </w:rPr>
        <w:t>Comunale o</w:t>
      </w:r>
    </w:p>
    <w:p w14:paraId="42C4C90E" w14:textId="11582E1B" w:rsidR="00620ED6" w:rsidRPr="00BE514C" w:rsidRDefault="00885F3D" w:rsidP="00FE43D2">
      <w:pPr>
        <w:spacing w:after="0"/>
        <w:ind w:left="2126" w:hanging="2126"/>
        <w:jc w:val="center"/>
        <w:rPr>
          <w:b/>
          <w:bCs/>
        </w:rPr>
      </w:pPr>
      <w:r w:rsidRPr="00BE514C">
        <w:rPr>
          <w:b/>
          <w:bCs/>
          <w:i/>
        </w:rPr>
        <w:t xml:space="preserve">Intercomunale </w:t>
      </w:r>
      <w:r w:rsidRPr="00BE514C">
        <w:rPr>
          <w:b/>
          <w:bCs/>
        </w:rPr>
        <w:t>-</w:t>
      </w:r>
      <w:r w:rsidRPr="00BE514C">
        <w:rPr>
          <w:b/>
          <w:i/>
        </w:rPr>
        <w:t xml:space="preserve"> DGR n.      del</w:t>
      </w:r>
      <w:r w:rsidR="00EB4D4F">
        <w:rPr>
          <w:b/>
          <w:i/>
        </w:rPr>
        <w:t xml:space="preserve">  </w:t>
      </w:r>
      <w:proofErr w:type="gramStart"/>
      <w:r w:rsidR="00EB4D4F">
        <w:rPr>
          <w:b/>
          <w:i/>
        </w:rPr>
        <w:t xml:space="preserve">  ”</w:t>
      </w:r>
      <w:proofErr w:type="gramEnd"/>
    </w:p>
    <w:p w14:paraId="3B3E89B3" w14:textId="3FD150F0" w:rsidR="00006C60" w:rsidRPr="00BE514C" w:rsidRDefault="00006C60" w:rsidP="00006C60">
      <w:pPr>
        <w:spacing w:after="0"/>
      </w:pPr>
    </w:p>
    <w:p w14:paraId="78F99E86" w14:textId="6101126F" w:rsidR="00FE3FCE" w:rsidRPr="00BE514C" w:rsidRDefault="00FE3FCE" w:rsidP="00793F99">
      <w:pPr>
        <w:spacing w:after="0"/>
      </w:pPr>
      <w:r w:rsidRPr="00BE514C">
        <w:t xml:space="preserve">Le domande incomplete o presentate secondo modalità difformi non saranno prese in considerazione, fatta salva l’applicazione dell’articolo 6, comma 1, </w:t>
      </w:r>
      <w:proofErr w:type="spellStart"/>
      <w:r w:rsidRPr="00BE514C">
        <w:t>lett</w:t>
      </w:r>
      <w:proofErr w:type="spellEnd"/>
      <w:r w:rsidRPr="00BE514C">
        <w:t>. b), della Legge 7 agosto 1990, n. 241</w:t>
      </w:r>
      <w:r w:rsidR="00620ED6" w:rsidRPr="00BE514C">
        <w:t xml:space="preserve">, </w:t>
      </w:r>
      <w:r w:rsidRPr="00BE514C">
        <w:t>in relazione alla rettifica di dichiarazioni o istanze erronee o incomplete, da effettuarsi entro 10 (dieci) giorni</w:t>
      </w:r>
      <w:r w:rsidR="00620ED6" w:rsidRPr="00BE514C">
        <w:t xml:space="preserve"> </w:t>
      </w:r>
      <w:r w:rsidRPr="00BE514C">
        <w:t>dalla relativa richiesta di rettifica.</w:t>
      </w:r>
    </w:p>
    <w:p w14:paraId="56798CC6" w14:textId="101A6179" w:rsidR="006B13F9" w:rsidRDefault="006B13F9" w:rsidP="00D65E76"/>
    <w:p w14:paraId="5F1A14C1" w14:textId="385F6A99" w:rsidR="006B13F9" w:rsidRPr="006B13F9" w:rsidRDefault="00885F3D" w:rsidP="00D65E76">
      <w:pPr>
        <w:rPr>
          <w:b/>
        </w:rPr>
      </w:pPr>
      <w:r>
        <w:rPr>
          <w:b/>
        </w:rPr>
        <w:t>5</w:t>
      </w:r>
      <w:r w:rsidR="00620ED6">
        <w:rPr>
          <w:b/>
        </w:rPr>
        <w:t xml:space="preserve">. </w:t>
      </w:r>
      <w:r w:rsidR="000356F0">
        <w:rPr>
          <w:b/>
        </w:rPr>
        <w:t>Cause</w:t>
      </w:r>
      <w:r w:rsidR="006B13F9">
        <w:rPr>
          <w:b/>
        </w:rPr>
        <w:t xml:space="preserve"> di esclusione </w:t>
      </w:r>
      <w:r w:rsidR="00C87638">
        <w:rPr>
          <w:b/>
        </w:rPr>
        <w:t xml:space="preserve">delle </w:t>
      </w:r>
      <w:r w:rsidR="00C87638" w:rsidRPr="00C87638">
        <w:rPr>
          <w:b/>
        </w:rPr>
        <w:t>domande di ammissione al contributo</w:t>
      </w:r>
    </w:p>
    <w:p w14:paraId="76624A45" w14:textId="66CA8FE3" w:rsidR="00647C5E" w:rsidRPr="006A3893" w:rsidRDefault="006B13F9" w:rsidP="00CD3302">
      <w:pPr>
        <w:spacing w:after="0"/>
        <w:rPr>
          <w:rFonts w:cs="Times New Roman"/>
        </w:rPr>
      </w:pPr>
      <w:r w:rsidRPr="006A3893">
        <w:rPr>
          <w:rFonts w:cs="Times New Roman"/>
        </w:rPr>
        <w:t xml:space="preserve">Non sono ammesse le </w:t>
      </w:r>
      <w:r w:rsidR="00C87638" w:rsidRPr="006A3893">
        <w:rPr>
          <w:rFonts w:cs="Times New Roman"/>
        </w:rPr>
        <w:t>domande</w:t>
      </w:r>
      <w:r w:rsidR="00640C6E" w:rsidRPr="006A3893">
        <w:rPr>
          <w:rFonts w:cs="Times New Roman"/>
        </w:rPr>
        <w:t xml:space="preserve"> presentate dai c</w:t>
      </w:r>
      <w:r w:rsidRPr="006A3893">
        <w:rPr>
          <w:rFonts w:cs="Times New Roman"/>
        </w:rPr>
        <w:t>omuni già destinatari di contributi previsti dall’art. 47 della L</w:t>
      </w:r>
      <w:r w:rsidR="006A3893" w:rsidRPr="006A3893">
        <w:rPr>
          <w:rFonts w:cs="Times New Roman"/>
        </w:rPr>
        <w:t>.</w:t>
      </w:r>
      <w:r w:rsidRPr="006A3893">
        <w:rPr>
          <w:rFonts w:cs="Times New Roman"/>
        </w:rPr>
        <w:t>R</w:t>
      </w:r>
      <w:r w:rsidR="006A3893" w:rsidRPr="006A3893">
        <w:rPr>
          <w:rFonts w:cs="Times New Roman"/>
        </w:rPr>
        <w:t>. n.</w:t>
      </w:r>
      <w:r w:rsidRPr="006A3893">
        <w:rPr>
          <w:rFonts w:cs="Times New Roman"/>
        </w:rPr>
        <w:t xml:space="preserve"> 11/2004 che</w:t>
      </w:r>
      <w:r w:rsidR="00647C5E" w:rsidRPr="006A3893">
        <w:rPr>
          <w:rFonts w:cs="Times New Roman"/>
        </w:rPr>
        <w:t>:</w:t>
      </w:r>
    </w:p>
    <w:p w14:paraId="1704D39B" w14:textId="68577331" w:rsidR="00C53FBD" w:rsidRPr="006A3893" w:rsidRDefault="00C53FBD" w:rsidP="00CD3302">
      <w:pPr>
        <w:pStyle w:val="Paragrafoelenco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/>
        </w:rPr>
      </w:pPr>
      <w:r w:rsidRPr="006A3893">
        <w:rPr>
          <w:rFonts w:ascii="Times New Roman" w:hAnsi="Times New Roman"/>
        </w:rPr>
        <w:t xml:space="preserve">non abbiano ancora concluso le attività </w:t>
      </w:r>
      <w:r w:rsidR="00EB38F7" w:rsidRPr="006A3893">
        <w:rPr>
          <w:rFonts w:ascii="Times New Roman" w:hAnsi="Times New Roman"/>
        </w:rPr>
        <w:t>oggetto del contributo previsto</w:t>
      </w:r>
      <w:r w:rsidRPr="006A3893">
        <w:rPr>
          <w:rFonts w:ascii="Times New Roman" w:hAnsi="Times New Roman"/>
        </w:rPr>
        <w:t xml:space="preserve"> dai </w:t>
      </w:r>
      <w:r w:rsidR="00EB38F7" w:rsidRPr="006A3893">
        <w:rPr>
          <w:rFonts w:ascii="Times New Roman" w:hAnsi="Times New Roman"/>
        </w:rPr>
        <w:t>bandi d</w:t>
      </w:r>
      <w:r w:rsidRPr="006A3893">
        <w:rPr>
          <w:rFonts w:ascii="Times New Roman" w:hAnsi="Times New Roman"/>
        </w:rPr>
        <w:t>i precedenti esercizi finanziari;</w:t>
      </w:r>
    </w:p>
    <w:p w14:paraId="265607F9" w14:textId="4B25DBCB" w:rsidR="00D65E76" w:rsidRPr="006A3893" w:rsidRDefault="006B13F9" w:rsidP="00CD3302">
      <w:pPr>
        <w:pStyle w:val="Paragrafoelenco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/>
        </w:rPr>
      </w:pPr>
      <w:r w:rsidRPr="006A3893">
        <w:rPr>
          <w:rFonts w:ascii="Times New Roman" w:hAnsi="Times New Roman"/>
        </w:rPr>
        <w:t>a seguito di revoca</w:t>
      </w:r>
      <w:r w:rsidR="005E3B14" w:rsidRPr="006A3893">
        <w:rPr>
          <w:rFonts w:ascii="Times New Roman" w:hAnsi="Times New Roman"/>
        </w:rPr>
        <w:t xml:space="preserve">, </w:t>
      </w:r>
      <w:r w:rsidRPr="006A3893">
        <w:rPr>
          <w:rFonts w:ascii="Times New Roman" w:hAnsi="Times New Roman"/>
        </w:rPr>
        <w:t>non abbiano ancora provveduto alla restituzione delle somme d</w:t>
      </w:r>
      <w:r w:rsidR="00720F58" w:rsidRPr="006A3893">
        <w:rPr>
          <w:rFonts w:ascii="Times New Roman" w:hAnsi="Times New Roman"/>
        </w:rPr>
        <w:t xml:space="preserve">ovute alla Regione alla data di presentazione della Domanda di ammissione al contributo e comunque alla </w:t>
      </w:r>
      <w:r w:rsidRPr="006A3893">
        <w:rPr>
          <w:rFonts w:ascii="Times New Roman" w:hAnsi="Times New Roman"/>
        </w:rPr>
        <w:t>scadenza del presente bando</w:t>
      </w:r>
      <w:r w:rsidR="00C53FBD" w:rsidRPr="006A3893">
        <w:rPr>
          <w:rFonts w:ascii="Times New Roman" w:hAnsi="Times New Roman"/>
        </w:rPr>
        <w:t>.</w:t>
      </w:r>
    </w:p>
    <w:p w14:paraId="066DD424" w14:textId="3E414B17" w:rsidR="00EB38F7" w:rsidRPr="006A3893" w:rsidRDefault="00640C6E" w:rsidP="00EB38F7">
      <w:pPr>
        <w:pStyle w:val="Paragrafoelenco"/>
        <w:spacing w:after="0"/>
        <w:ind w:left="284"/>
        <w:jc w:val="both"/>
        <w:rPr>
          <w:rFonts w:ascii="Times New Roman" w:hAnsi="Times New Roman"/>
        </w:rPr>
      </w:pPr>
      <w:r w:rsidRPr="006A3893">
        <w:rPr>
          <w:rFonts w:ascii="Times New Roman" w:hAnsi="Times New Roman"/>
        </w:rPr>
        <w:t>I comuni potranno presentare la domanda di ammissione al contributo qualora, alla data di scadenza del bando, abbiano almeno assunto idoneo provvedimento per la restituzione delle</w:t>
      </w:r>
      <w:r w:rsidRPr="006A3893">
        <w:t xml:space="preserve"> </w:t>
      </w:r>
      <w:r w:rsidRPr="006A3893">
        <w:rPr>
          <w:rFonts w:ascii="Times New Roman" w:hAnsi="Times New Roman"/>
        </w:rPr>
        <w:t xml:space="preserve">somme dovute alla Regione. </w:t>
      </w:r>
    </w:p>
    <w:p w14:paraId="011794BC" w14:textId="77777777" w:rsidR="009D55C7" w:rsidRPr="00635655" w:rsidRDefault="009D55C7" w:rsidP="00635655">
      <w:pPr>
        <w:spacing w:after="0"/>
      </w:pPr>
    </w:p>
    <w:p w14:paraId="619F2246" w14:textId="31AE26E9" w:rsidR="00144DDC" w:rsidRPr="00620ED6" w:rsidRDefault="00885F3D" w:rsidP="00620ED6">
      <w:pPr>
        <w:rPr>
          <w:b/>
        </w:rPr>
      </w:pPr>
      <w:r>
        <w:rPr>
          <w:b/>
        </w:rPr>
        <w:t>6</w:t>
      </w:r>
      <w:r w:rsidR="00620ED6">
        <w:rPr>
          <w:b/>
        </w:rPr>
        <w:t xml:space="preserve">. </w:t>
      </w:r>
      <w:r w:rsidR="00144DDC" w:rsidRPr="00620ED6">
        <w:rPr>
          <w:b/>
        </w:rPr>
        <w:t xml:space="preserve">Criteri di valutazione </w:t>
      </w:r>
    </w:p>
    <w:p w14:paraId="214BEF04" w14:textId="271330F7" w:rsidR="00D65E76" w:rsidRPr="00D65E76" w:rsidRDefault="00D65E76" w:rsidP="00D65E76">
      <w:pPr>
        <w:suppressAutoHyphens w:val="0"/>
        <w:autoSpaceDE w:val="0"/>
        <w:autoSpaceDN w:val="0"/>
        <w:adjustRightInd w:val="0"/>
        <w:spacing w:after="0"/>
        <w:rPr>
          <w:rFonts w:eastAsia="TimesNewRoman-Identity-H" w:cs="Times New Roman"/>
          <w:szCs w:val="22"/>
          <w:lang w:eastAsia="it-IT"/>
        </w:rPr>
      </w:pPr>
      <w:r w:rsidRPr="00D65E76">
        <w:rPr>
          <w:rFonts w:eastAsia="TimesNewRoman-Identity-H" w:cs="Times New Roman"/>
          <w:szCs w:val="22"/>
          <w:lang w:eastAsia="it-IT"/>
        </w:rPr>
        <w:t xml:space="preserve">L’esame delle domande </w:t>
      </w:r>
      <w:r w:rsidR="00885F3D" w:rsidRPr="00885F3D">
        <w:rPr>
          <w:rFonts w:eastAsia="TimesNewRoman-Identity-H" w:cs="Times New Roman"/>
          <w:szCs w:val="22"/>
          <w:lang w:eastAsia="it-IT"/>
        </w:rPr>
        <w:t>di ammissione al contributo</w:t>
      </w:r>
      <w:r w:rsidR="00885F3D">
        <w:rPr>
          <w:rFonts w:eastAsia="TimesNewRoman-Identity-H" w:cs="Times New Roman"/>
          <w:szCs w:val="22"/>
          <w:lang w:eastAsia="it-IT"/>
        </w:rPr>
        <w:t xml:space="preserve"> </w:t>
      </w:r>
      <w:r w:rsidR="00C87638">
        <w:rPr>
          <w:rFonts w:eastAsia="TimesNewRoman-Identity-H" w:cs="Times New Roman"/>
          <w:szCs w:val="22"/>
          <w:lang w:eastAsia="it-IT"/>
        </w:rPr>
        <w:t xml:space="preserve">regolarmente </w:t>
      </w:r>
      <w:r w:rsidR="006A3893">
        <w:rPr>
          <w:rFonts w:eastAsia="TimesNewRoman-Identity-H" w:cs="Times New Roman"/>
          <w:szCs w:val="22"/>
          <w:lang w:eastAsia="it-IT"/>
        </w:rPr>
        <w:t>trasmesse dai c</w:t>
      </w:r>
      <w:r w:rsidRPr="00D65E76">
        <w:rPr>
          <w:rFonts w:eastAsia="TimesNewRoman-Identity-H" w:cs="Times New Roman"/>
          <w:szCs w:val="22"/>
          <w:lang w:eastAsia="it-IT"/>
        </w:rPr>
        <w:t>omuni sarà svolto dalla Direzione Pianifi</w:t>
      </w:r>
      <w:r>
        <w:rPr>
          <w:rFonts w:eastAsia="TimesNewRoman-Identity-H" w:cs="Times New Roman"/>
          <w:szCs w:val="22"/>
          <w:lang w:eastAsia="it-IT"/>
        </w:rPr>
        <w:t xml:space="preserve">cazione Territoriale sulla base </w:t>
      </w:r>
      <w:r w:rsidRPr="00D65E76">
        <w:rPr>
          <w:rFonts w:eastAsia="TimesNewRoman-Identity-H" w:cs="Times New Roman"/>
          <w:szCs w:val="22"/>
          <w:lang w:eastAsia="it-IT"/>
        </w:rPr>
        <w:t xml:space="preserve">dei </w:t>
      </w:r>
      <w:r w:rsidR="00C87638">
        <w:rPr>
          <w:rFonts w:eastAsia="TimesNewRoman-Identity-H" w:cs="Times New Roman"/>
          <w:szCs w:val="22"/>
          <w:lang w:eastAsia="it-IT"/>
        </w:rPr>
        <w:t>seguenti criteri:</w:t>
      </w:r>
    </w:p>
    <w:p w14:paraId="66471E02" w14:textId="53920027" w:rsidR="00793F99" w:rsidRPr="00793F99" w:rsidRDefault="00793F99" w:rsidP="00882D65">
      <w:pPr>
        <w:spacing w:after="0"/>
        <w:rPr>
          <w:rFonts w:cs="Times New Roman"/>
          <w:szCs w:val="22"/>
        </w:rPr>
      </w:pPr>
    </w:p>
    <w:tbl>
      <w:tblPr>
        <w:tblW w:w="978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4971"/>
        <w:gridCol w:w="1266"/>
      </w:tblGrid>
      <w:tr w:rsidR="00793F99" w:rsidRPr="003C6410" w14:paraId="2680B0AC" w14:textId="77777777" w:rsidTr="001F7C08">
        <w:trPr>
          <w:trHeight w:val="423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DF76C5" w14:textId="77777777" w:rsidR="00793F99" w:rsidRPr="003C6410" w:rsidRDefault="00793F99" w:rsidP="001F7C08">
            <w:pPr>
              <w:spacing w:after="0"/>
              <w:rPr>
                <w:rFonts w:eastAsia="Calibri" w:cs="Times New Roman"/>
                <w:b/>
                <w:smallCaps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b/>
                <w:smallCaps/>
                <w:szCs w:val="22"/>
                <w:lang w:eastAsia="en-US"/>
              </w:rPr>
              <w:t>criteri di valutazione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DC5AC7" w14:textId="77777777" w:rsidR="00793F99" w:rsidRPr="003C6410" w:rsidRDefault="00793F99" w:rsidP="001F7C08">
            <w:pPr>
              <w:spacing w:after="0"/>
              <w:rPr>
                <w:rFonts w:eastAsia="Calibri" w:cs="Times New Roman"/>
                <w:i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b/>
                <w:smallCaps/>
                <w:szCs w:val="22"/>
                <w:lang w:eastAsia="en-US"/>
              </w:rPr>
              <w:t>descrizione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935DC1" w14:textId="77777777" w:rsidR="00793F99" w:rsidRPr="003C6410" w:rsidDel="00E06922" w:rsidRDefault="00793F99" w:rsidP="001F7C08">
            <w:pPr>
              <w:spacing w:after="0"/>
              <w:jc w:val="center"/>
              <w:rPr>
                <w:rFonts w:eastAsia="Calibri" w:cs="Times New Roman"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b/>
                <w:smallCaps/>
                <w:szCs w:val="22"/>
                <w:lang w:eastAsia="en-US"/>
              </w:rPr>
              <w:t>punteggi</w:t>
            </w:r>
          </w:p>
        </w:tc>
      </w:tr>
      <w:tr w:rsidR="00FD6F4B" w:rsidRPr="003C6410" w:rsidDel="00E06922" w14:paraId="185B20BD" w14:textId="77777777" w:rsidTr="00882D65">
        <w:trPr>
          <w:trHeight w:val="47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0F6B2" w14:textId="4F0B7D46" w:rsidR="00FD6F4B" w:rsidRPr="003C6410" w:rsidRDefault="00FD6F4B" w:rsidP="00C90D6C">
            <w:pPr>
              <w:snapToGrid w:val="0"/>
              <w:spacing w:after="0"/>
              <w:jc w:val="center"/>
              <w:rPr>
                <w:rFonts w:eastAsia="Calibri" w:cs="Times New Roman"/>
                <w:b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szCs w:val="22"/>
                <w:lang w:eastAsia="en-US"/>
              </w:rPr>
              <w:t>A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4E987" w14:textId="38161DFF" w:rsidR="00FD6F4B" w:rsidRPr="003C6410" w:rsidRDefault="006A68D8" w:rsidP="00C90D6C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i/>
                <w:szCs w:val="22"/>
                <w:lang w:eastAsia="en-US"/>
              </w:rPr>
              <w:t>Dimensione demografica</w:t>
            </w:r>
          </w:p>
          <w:p w14:paraId="4F5F91DF" w14:textId="5BAB88AD" w:rsidR="00FD6F4B" w:rsidRPr="003C6410" w:rsidRDefault="00FD6F4B" w:rsidP="00C90D6C">
            <w:pPr>
              <w:snapToGrid w:val="0"/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BE9D6" w14:textId="51367E88" w:rsidR="00FD6F4B" w:rsidRPr="003518A5" w:rsidRDefault="00FD6F4B" w:rsidP="00F24716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518A5">
              <w:t>Comun</w:t>
            </w:r>
            <w:r w:rsidR="00BD6BA9">
              <w:t xml:space="preserve">e </w:t>
            </w:r>
            <w:r w:rsidRPr="003518A5">
              <w:t xml:space="preserve">con popolazione superiore </w:t>
            </w:r>
            <w:r w:rsidR="002D6A1A">
              <w:t>a 10.000</w:t>
            </w:r>
            <w:r w:rsidR="00F24716">
              <w:t xml:space="preserve"> abitanti 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3B020" w14:textId="546EABF6" w:rsidR="00FD6F4B" w:rsidRPr="006A68D8" w:rsidRDefault="001F4D86" w:rsidP="00C90D6C">
            <w:pPr>
              <w:spacing w:after="0"/>
              <w:jc w:val="left"/>
              <w:rPr>
                <w:rFonts w:eastAsia="Calibri" w:cs="Times New Roman"/>
                <w:b/>
                <w:szCs w:val="22"/>
                <w:lang w:eastAsia="en-US"/>
              </w:rPr>
            </w:pPr>
            <w:r w:rsidRPr="006A68D8">
              <w:rPr>
                <w:rFonts w:eastAsia="Calibri" w:cs="Times New Roman"/>
                <w:b/>
                <w:szCs w:val="22"/>
                <w:lang w:eastAsia="en-US"/>
              </w:rPr>
              <w:t>0</w:t>
            </w:r>
          </w:p>
          <w:p w14:paraId="66F677B4" w14:textId="17303668" w:rsidR="00892C25" w:rsidRPr="006A68D8" w:rsidDel="00E06922" w:rsidRDefault="00892C25" w:rsidP="00C90D6C">
            <w:pPr>
              <w:spacing w:after="0"/>
              <w:jc w:val="left"/>
              <w:rPr>
                <w:rFonts w:eastAsia="Calibri" w:cs="Times New Roman"/>
                <w:b/>
                <w:szCs w:val="22"/>
                <w:lang w:eastAsia="en-US"/>
              </w:rPr>
            </w:pPr>
          </w:p>
        </w:tc>
      </w:tr>
      <w:tr w:rsidR="00FD6F4B" w:rsidRPr="003C6410" w:rsidDel="00E06922" w14:paraId="49E00384" w14:textId="77777777" w:rsidTr="00C90D6C">
        <w:trPr>
          <w:trHeight w:val="72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3BF29" w14:textId="77777777" w:rsidR="00FD6F4B" w:rsidRPr="003C6410" w:rsidRDefault="00FD6F4B" w:rsidP="00C90D6C">
            <w:pPr>
              <w:snapToGrid w:val="0"/>
              <w:spacing w:after="0"/>
              <w:jc w:val="center"/>
              <w:rPr>
                <w:rFonts w:eastAsia="Calibri" w:cs="Times New Roman"/>
                <w:b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97331" w14:textId="77777777" w:rsidR="00FD6F4B" w:rsidRPr="003C6410" w:rsidRDefault="00FD6F4B" w:rsidP="00C90D6C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FCD7" w14:textId="50BD25C3" w:rsidR="00FD6F4B" w:rsidRPr="002D6A1A" w:rsidRDefault="00FD6F4B" w:rsidP="00C90D6C">
            <w:pPr>
              <w:spacing w:after="0"/>
              <w:jc w:val="left"/>
            </w:pPr>
            <w:r w:rsidRPr="003518A5">
              <w:t>Comun</w:t>
            </w:r>
            <w:r w:rsidR="00BD6BA9">
              <w:t xml:space="preserve">e </w:t>
            </w:r>
            <w:r w:rsidRPr="003518A5">
              <w:t xml:space="preserve">con popolazione compresa tra i </w:t>
            </w:r>
            <w:r w:rsidR="002D6A1A">
              <w:t>2</w:t>
            </w:r>
            <w:r w:rsidR="00635655">
              <w:t>.</w:t>
            </w:r>
            <w:r w:rsidR="002D6A1A">
              <w:t>5</w:t>
            </w:r>
            <w:r w:rsidRPr="003518A5">
              <w:t xml:space="preserve">00 </w:t>
            </w:r>
            <w:r w:rsidR="00F24716">
              <w:t xml:space="preserve">e i 10.000 </w:t>
            </w:r>
            <w:r w:rsidRPr="003518A5">
              <w:t>abitanti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3FA4E" w14:textId="05687CC4" w:rsidR="00FD6F4B" w:rsidRPr="006A68D8" w:rsidRDefault="00F24716" w:rsidP="00C90D6C">
            <w:pPr>
              <w:spacing w:after="0"/>
              <w:jc w:val="left"/>
              <w:rPr>
                <w:rFonts w:eastAsia="Calibri" w:cs="Times New Roman"/>
                <w:b/>
                <w:szCs w:val="22"/>
                <w:lang w:eastAsia="en-US"/>
              </w:rPr>
            </w:pPr>
            <w:r w:rsidRPr="006A68D8">
              <w:rPr>
                <w:rFonts w:eastAsia="Calibri" w:cs="Times New Roman"/>
                <w:b/>
                <w:szCs w:val="22"/>
                <w:lang w:eastAsia="en-US"/>
              </w:rPr>
              <w:t>3</w:t>
            </w:r>
          </w:p>
          <w:p w14:paraId="165BB8B7" w14:textId="77777777" w:rsidR="00892C25" w:rsidRPr="006A68D8" w:rsidRDefault="00892C25" w:rsidP="00C90D6C">
            <w:pPr>
              <w:spacing w:after="0"/>
              <w:jc w:val="left"/>
              <w:rPr>
                <w:rFonts w:eastAsia="Calibri" w:cs="Times New Roman"/>
                <w:b/>
                <w:szCs w:val="22"/>
                <w:lang w:eastAsia="en-US"/>
              </w:rPr>
            </w:pPr>
          </w:p>
          <w:p w14:paraId="77747601" w14:textId="2FA3F8DE" w:rsidR="00892C25" w:rsidRPr="006A68D8" w:rsidDel="00E06922" w:rsidRDefault="00892C25" w:rsidP="00C90D6C">
            <w:pPr>
              <w:spacing w:after="0"/>
              <w:jc w:val="left"/>
              <w:rPr>
                <w:rFonts w:eastAsia="Calibri" w:cs="Times New Roman"/>
                <w:b/>
                <w:szCs w:val="22"/>
                <w:lang w:eastAsia="en-US"/>
              </w:rPr>
            </w:pPr>
          </w:p>
        </w:tc>
      </w:tr>
      <w:tr w:rsidR="002D6A1A" w:rsidRPr="003C6410" w:rsidDel="00E06922" w14:paraId="7A564F34" w14:textId="77777777" w:rsidTr="00C90D6C">
        <w:trPr>
          <w:trHeight w:val="727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662FA" w14:textId="77777777" w:rsidR="002D6A1A" w:rsidRPr="003C6410" w:rsidRDefault="002D6A1A" w:rsidP="00C90D6C">
            <w:pPr>
              <w:snapToGrid w:val="0"/>
              <w:spacing w:after="0"/>
              <w:jc w:val="center"/>
              <w:rPr>
                <w:rFonts w:eastAsia="Calibri" w:cs="Times New Roman"/>
                <w:b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BFF2E6" w14:textId="77777777" w:rsidR="002D6A1A" w:rsidRPr="003C6410" w:rsidRDefault="002D6A1A" w:rsidP="00C90D6C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D658D7" w14:textId="4A540A1A" w:rsidR="002D6A1A" w:rsidRPr="003518A5" w:rsidRDefault="002D6A1A" w:rsidP="00441727">
            <w:pPr>
              <w:spacing w:after="0"/>
              <w:jc w:val="left"/>
            </w:pPr>
            <w:r w:rsidRPr="003518A5">
              <w:t>Comun</w:t>
            </w:r>
            <w:r w:rsidR="00BD6BA9">
              <w:t>e</w:t>
            </w:r>
            <w:r w:rsidRPr="003518A5">
              <w:t xml:space="preserve"> con popolazione </w:t>
            </w:r>
            <w:r w:rsidR="00441727">
              <w:t xml:space="preserve">pari o </w:t>
            </w:r>
            <w:r w:rsidRPr="003518A5">
              <w:t xml:space="preserve">inferiore a </w:t>
            </w:r>
            <w:r w:rsidR="00F24716">
              <w:t>2</w:t>
            </w:r>
            <w:r w:rsidR="00635655">
              <w:t>.</w:t>
            </w:r>
            <w:r w:rsidR="00441727">
              <w:t>499</w:t>
            </w:r>
            <w:r w:rsidR="00F24716">
              <w:t xml:space="preserve"> </w:t>
            </w:r>
            <w:r w:rsidR="00635655">
              <w:t>abitanti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B108B" w14:textId="7C6A0455" w:rsidR="00892C25" w:rsidRPr="006A68D8" w:rsidRDefault="00DA663C" w:rsidP="00DA663C">
            <w:pPr>
              <w:spacing w:after="0"/>
              <w:jc w:val="left"/>
              <w:rPr>
                <w:rFonts w:eastAsia="Calibri" w:cs="Times New Roman"/>
                <w:b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szCs w:val="22"/>
                <w:lang w:eastAsia="en-US"/>
              </w:rPr>
              <w:t>6</w:t>
            </w:r>
          </w:p>
        </w:tc>
      </w:tr>
      <w:tr w:rsidR="00793F99" w:rsidRPr="003C6410" w14:paraId="3A2B467D" w14:textId="77777777" w:rsidTr="001F7C08">
        <w:trPr>
          <w:trHeight w:val="42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67E31" w14:textId="14D9E3BE" w:rsidR="00793F99" w:rsidRPr="003C6410" w:rsidRDefault="00FD6F4B" w:rsidP="001F7C08">
            <w:pPr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eastAsia="en-US"/>
              </w:rPr>
              <w:lastRenderedPageBreak/>
              <w:t>B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3F11F" w14:textId="77777777" w:rsidR="00793F99" w:rsidRPr="003C6410" w:rsidRDefault="00793F99" w:rsidP="001F7C08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b/>
                <w:i/>
                <w:szCs w:val="22"/>
                <w:lang w:eastAsia="en-US"/>
              </w:rPr>
              <w:t>Adeguamento LR 14/2017</w:t>
            </w:r>
          </w:p>
          <w:p w14:paraId="03E60B81" w14:textId="7EBDC0EA" w:rsidR="00793F99" w:rsidRPr="00C450CC" w:rsidRDefault="00793F99" w:rsidP="001F7C08">
            <w:pPr>
              <w:spacing w:after="0"/>
              <w:jc w:val="left"/>
              <w:rPr>
                <w:i/>
                <w:strike/>
              </w:rPr>
            </w:pPr>
          </w:p>
        </w:tc>
        <w:tc>
          <w:tcPr>
            <w:tcW w:w="49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41427" w14:textId="21AA25E3" w:rsidR="003E0744" w:rsidRPr="003518A5" w:rsidRDefault="00793F99" w:rsidP="00635655">
            <w:pPr>
              <w:spacing w:after="0"/>
              <w:jc w:val="left"/>
            </w:pPr>
            <w:r w:rsidRPr="003518A5">
              <w:rPr>
                <w:rFonts w:eastAsia="Calibri" w:cs="Times New Roman"/>
                <w:szCs w:val="22"/>
                <w:lang w:eastAsia="en-US"/>
              </w:rPr>
              <w:t xml:space="preserve">Comune </w:t>
            </w:r>
            <w:r w:rsidR="00160A2C">
              <w:rPr>
                <w:rFonts w:eastAsia="Calibri" w:cs="Times New Roman"/>
                <w:szCs w:val="22"/>
                <w:lang w:eastAsia="en-US"/>
              </w:rPr>
              <w:t>che ha adottato la variante al PRG per l’ade</w:t>
            </w:r>
            <w:r w:rsidR="005C0C9E">
              <w:rPr>
                <w:rFonts w:eastAsia="Calibri" w:cs="Times New Roman"/>
                <w:szCs w:val="22"/>
                <w:lang w:eastAsia="en-US"/>
              </w:rPr>
              <w:t>guamento</w:t>
            </w:r>
            <w:r w:rsidRPr="003518A5">
              <w:rPr>
                <w:rFonts w:eastAsia="Calibri" w:cs="Times New Roman"/>
                <w:szCs w:val="22"/>
                <w:lang w:eastAsia="en-US"/>
              </w:rPr>
              <w:t xml:space="preserve"> alla disciplina sul contenimento del consumo di suolo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D459" w14:textId="70047159" w:rsidR="00793F99" w:rsidRPr="006A68D8" w:rsidRDefault="00793F99" w:rsidP="001F7C08">
            <w:pPr>
              <w:spacing w:after="0"/>
              <w:jc w:val="left"/>
              <w:rPr>
                <w:rFonts w:eastAsia="Calibri" w:cs="Times New Roman"/>
                <w:b/>
                <w:szCs w:val="22"/>
                <w:lang w:eastAsia="en-US"/>
              </w:rPr>
            </w:pPr>
            <w:r w:rsidRPr="006A68D8">
              <w:rPr>
                <w:rFonts w:eastAsia="Calibri" w:cs="Times New Roman"/>
                <w:b/>
                <w:szCs w:val="22"/>
                <w:lang w:eastAsia="en-US"/>
              </w:rPr>
              <w:t>1</w:t>
            </w:r>
          </w:p>
          <w:p w14:paraId="2A8A4553" w14:textId="77777777" w:rsidR="005C0C9E" w:rsidRPr="006A68D8" w:rsidRDefault="005C0C9E" w:rsidP="001F7C08">
            <w:pPr>
              <w:spacing w:after="0"/>
              <w:jc w:val="left"/>
              <w:rPr>
                <w:rFonts w:eastAsia="Calibri" w:cs="Times New Roman"/>
                <w:b/>
                <w:szCs w:val="22"/>
                <w:lang w:eastAsia="en-US"/>
              </w:rPr>
            </w:pPr>
          </w:p>
          <w:p w14:paraId="5395F029" w14:textId="4E220E00" w:rsidR="005C0C9E" w:rsidRPr="006A68D8" w:rsidRDefault="005C0C9E" w:rsidP="001F7C08">
            <w:pPr>
              <w:spacing w:after="0"/>
              <w:jc w:val="left"/>
              <w:rPr>
                <w:b/>
              </w:rPr>
            </w:pPr>
          </w:p>
        </w:tc>
      </w:tr>
      <w:tr w:rsidR="00793F99" w:rsidRPr="003C6410" w14:paraId="14140244" w14:textId="77777777" w:rsidTr="001F7C08">
        <w:trPr>
          <w:trHeight w:val="8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BEAF9" w14:textId="77777777" w:rsidR="00793F99" w:rsidRPr="003C6410" w:rsidRDefault="00793F99" w:rsidP="001F7C08">
            <w:pPr>
              <w:snapToGrid w:val="0"/>
              <w:spacing w:after="0"/>
              <w:jc w:val="center"/>
              <w:rPr>
                <w:rFonts w:eastAsia="Calibri" w:cs="Times New Roman"/>
                <w:b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229D2" w14:textId="77777777" w:rsidR="00793F99" w:rsidRPr="003C6410" w:rsidRDefault="00793F99" w:rsidP="001F7C08">
            <w:pPr>
              <w:snapToGrid w:val="0"/>
              <w:spacing w:after="0"/>
              <w:jc w:val="left"/>
              <w:rPr>
                <w:rFonts w:eastAsia="Calibri" w:cs="Times New Roman"/>
                <w:b/>
                <w:szCs w:val="22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FB558D" w14:textId="177C372E" w:rsidR="00793F99" w:rsidRPr="003518A5" w:rsidRDefault="005C0C9E" w:rsidP="00635655">
            <w:pPr>
              <w:spacing w:after="0"/>
              <w:jc w:val="left"/>
            </w:pPr>
            <w:r>
              <w:rPr>
                <w:rFonts w:eastAsia="Calibri" w:cs="Times New Roman"/>
                <w:szCs w:val="22"/>
                <w:lang w:eastAsia="en-US"/>
              </w:rPr>
              <w:t>Comune che ha approvato</w:t>
            </w:r>
            <w:r w:rsidRPr="005C0C9E">
              <w:rPr>
                <w:rFonts w:eastAsia="Calibri" w:cs="Times New Roman"/>
                <w:szCs w:val="22"/>
                <w:lang w:eastAsia="en-US"/>
              </w:rPr>
              <w:t xml:space="preserve"> la variante al PRG per l’adeguamento alla disciplina sul contenimento del consumo di suolo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41F1D3" w14:textId="02FA757E" w:rsidR="00793F99" w:rsidRPr="006A68D8" w:rsidRDefault="006A68D8" w:rsidP="001F7C08">
            <w:pPr>
              <w:spacing w:after="0"/>
              <w:jc w:val="left"/>
              <w:rPr>
                <w:rFonts w:eastAsia="Calibri" w:cs="Times New Roman"/>
                <w:b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szCs w:val="22"/>
                <w:lang w:eastAsia="en-US"/>
              </w:rPr>
              <w:t>3</w:t>
            </w:r>
          </w:p>
          <w:p w14:paraId="0567EF4C" w14:textId="40A243E8" w:rsidR="005C0C9E" w:rsidRPr="006A68D8" w:rsidRDefault="005C0C9E" w:rsidP="001F7C08">
            <w:pPr>
              <w:spacing w:after="0"/>
              <w:jc w:val="left"/>
              <w:rPr>
                <w:rFonts w:eastAsia="Calibri" w:cs="Times New Roman"/>
                <w:b/>
                <w:szCs w:val="22"/>
                <w:lang w:eastAsia="en-US"/>
              </w:rPr>
            </w:pPr>
          </w:p>
          <w:p w14:paraId="080DCA3C" w14:textId="0B7FEF8B" w:rsidR="005C0C9E" w:rsidRPr="006A68D8" w:rsidRDefault="005C0C9E" w:rsidP="00892C25">
            <w:pPr>
              <w:spacing w:after="0"/>
              <w:jc w:val="left"/>
              <w:rPr>
                <w:b/>
              </w:rPr>
            </w:pPr>
          </w:p>
        </w:tc>
      </w:tr>
      <w:tr w:rsidR="006A68D8" w:rsidRPr="003C6410" w14:paraId="4F1E556D" w14:textId="77777777" w:rsidTr="001F7C08">
        <w:trPr>
          <w:trHeight w:val="423"/>
        </w:trPr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7C95" w14:textId="6BA91B54" w:rsidR="006A68D8" w:rsidRDefault="006A68D8" w:rsidP="001F7C08">
            <w:pPr>
              <w:spacing w:after="0"/>
              <w:jc w:val="center"/>
              <w:rPr>
                <w:rFonts w:eastAsia="Calibri" w:cs="Times New Roman"/>
                <w:b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szCs w:val="22"/>
                <w:lang w:eastAsia="en-US"/>
              </w:rPr>
              <w:t>C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0194" w14:textId="77777777" w:rsidR="006A68D8" w:rsidRPr="006A68D8" w:rsidRDefault="006A68D8" w:rsidP="006A68D8">
            <w:pPr>
              <w:spacing w:after="0"/>
              <w:jc w:val="left"/>
              <w:rPr>
                <w:b/>
                <w:i/>
              </w:rPr>
            </w:pPr>
            <w:proofErr w:type="spellStart"/>
            <w:r w:rsidRPr="006A68D8">
              <w:rPr>
                <w:b/>
                <w:i/>
              </w:rPr>
              <w:t>Copianificazione</w:t>
            </w:r>
            <w:proofErr w:type="spellEnd"/>
          </w:p>
          <w:p w14:paraId="1EAF5492" w14:textId="4E09DE7C" w:rsidR="006A68D8" w:rsidRPr="00B81149" w:rsidRDefault="006A68D8" w:rsidP="006A68D8">
            <w:pPr>
              <w:spacing w:after="0"/>
              <w:jc w:val="left"/>
              <w:rPr>
                <w:b/>
                <w:i/>
              </w:rPr>
            </w:pPr>
          </w:p>
        </w:tc>
        <w:tc>
          <w:tcPr>
            <w:tcW w:w="49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C22DB" w14:textId="77A24FCC" w:rsidR="006A68D8" w:rsidRPr="006A68D8" w:rsidRDefault="006A68D8" w:rsidP="001F4D86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6A68D8">
              <w:rPr>
                <w:rFonts w:eastAsia="Calibri" w:cs="Times New Roman"/>
                <w:szCs w:val="22"/>
                <w:lang w:eastAsia="en-US"/>
              </w:rPr>
              <w:t xml:space="preserve">Redazione del PAT/PATI in forma </w:t>
            </w:r>
            <w:proofErr w:type="spellStart"/>
            <w:r w:rsidRPr="006A68D8">
              <w:rPr>
                <w:rFonts w:eastAsia="Calibri" w:cs="Times New Roman"/>
                <w:szCs w:val="22"/>
                <w:lang w:eastAsia="en-US"/>
              </w:rPr>
              <w:t>copianificata</w:t>
            </w:r>
            <w:proofErr w:type="spellEnd"/>
            <w:r w:rsidRPr="006A68D8">
              <w:rPr>
                <w:rFonts w:eastAsia="Calibri" w:cs="Times New Roman"/>
                <w:szCs w:val="22"/>
                <w:lang w:eastAsia="en-US"/>
              </w:rPr>
              <w:t xml:space="preserve"> con la Provincia</w:t>
            </w:r>
            <w:r>
              <w:rPr>
                <w:rFonts w:eastAsia="Calibri" w:cs="Times New Roman"/>
                <w:szCs w:val="22"/>
                <w:lang w:eastAsia="en-US"/>
              </w:rPr>
              <w:t xml:space="preserve">/Città metropolitana </w:t>
            </w:r>
            <w:r w:rsidRPr="006A68D8">
              <w:rPr>
                <w:rFonts w:eastAsia="Calibri" w:cs="Times New Roman"/>
                <w:szCs w:val="22"/>
                <w:lang w:eastAsia="en-US"/>
              </w:rPr>
              <w:t>ai sensi dell’art. 15 della LR 11/2004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1FFC7" w14:textId="29E2AC2A" w:rsidR="006A68D8" w:rsidRPr="006A68D8" w:rsidRDefault="006A68D8" w:rsidP="001F7C08">
            <w:pPr>
              <w:spacing w:after="0"/>
              <w:jc w:val="left"/>
              <w:rPr>
                <w:rFonts w:eastAsia="Calibri" w:cs="Times New Roman"/>
                <w:b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szCs w:val="22"/>
                <w:lang w:eastAsia="en-US"/>
              </w:rPr>
              <w:t>3</w:t>
            </w:r>
          </w:p>
        </w:tc>
      </w:tr>
      <w:tr w:rsidR="00793F99" w:rsidRPr="003C6410" w14:paraId="2CEF866A" w14:textId="77777777" w:rsidTr="001F7C08">
        <w:trPr>
          <w:trHeight w:val="42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2FD7" w14:textId="7F87ED78" w:rsidR="00793F99" w:rsidRPr="003C6410" w:rsidRDefault="006A68D8" w:rsidP="001F7C08">
            <w:pPr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eastAsia="en-US"/>
              </w:rPr>
              <w:t>D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97AB" w14:textId="27D575D4" w:rsidR="00793F99" w:rsidRPr="00B81149" w:rsidRDefault="001F4D86" w:rsidP="002D6A1A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  <w:r w:rsidRPr="00B81149">
              <w:rPr>
                <w:b/>
                <w:i/>
              </w:rPr>
              <w:t xml:space="preserve">Fragilità territoriale </w:t>
            </w:r>
          </w:p>
        </w:tc>
        <w:tc>
          <w:tcPr>
            <w:tcW w:w="49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B14E8" w14:textId="39E70909" w:rsidR="001F4D86" w:rsidRPr="003C6410" w:rsidRDefault="001F4D86" w:rsidP="001F4D86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i/>
                <w:szCs w:val="22"/>
                <w:lang w:eastAsia="en-US"/>
              </w:rPr>
              <w:t>Classificazione sismica</w:t>
            </w:r>
          </w:p>
          <w:p w14:paraId="5FF9576E" w14:textId="4D436F71" w:rsidR="00793F99" w:rsidRPr="003518A5" w:rsidRDefault="00B81149" w:rsidP="001F4D86">
            <w:pPr>
              <w:spacing w:after="0"/>
              <w:contextualSpacing/>
              <w:jc w:val="left"/>
              <w:rPr>
                <w:rFonts w:eastAsia="Calibri" w:cs="Times New Roman"/>
                <w:szCs w:val="22"/>
                <w:lang w:eastAsia="en-US"/>
              </w:rPr>
            </w:pPr>
            <w:r>
              <w:rPr>
                <w:rFonts w:eastAsia="Calibri" w:cs="Times New Roman"/>
                <w:szCs w:val="22"/>
                <w:lang w:eastAsia="en-US"/>
              </w:rPr>
              <w:t>Zona</w:t>
            </w:r>
            <w:r w:rsidR="001F4D86">
              <w:rPr>
                <w:rFonts w:eastAsia="Calibri" w:cs="Times New Roman"/>
                <w:szCs w:val="22"/>
                <w:lang w:eastAsia="en-US"/>
              </w:rPr>
              <w:t xml:space="preserve"> a pericolosità</w:t>
            </w:r>
            <w:r w:rsidR="001F4D86" w:rsidRPr="003518A5">
              <w:rPr>
                <w:rFonts w:eastAsia="Calibri" w:cs="Times New Roman"/>
                <w:szCs w:val="22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2"/>
                <w:lang w:eastAsia="en-US"/>
              </w:rPr>
              <w:t xml:space="preserve">1 o </w:t>
            </w:r>
            <w:r w:rsidR="001F4D86" w:rsidRPr="003518A5">
              <w:rPr>
                <w:rFonts w:eastAsia="Calibri" w:cs="Times New Roman"/>
                <w:szCs w:val="22"/>
                <w:lang w:eastAsia="en-US"/>
              </w:rPr>
              <w:t>2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95471" w14:textId="77777777" w:rsidR="00793F99" w:rsidRPr="006A68D8" w:rsidRDefault="00793F99" w:rsidP="001F7C08">
            <w:pPr>
              <w:spacing w:after="0"/>
              <w:jc w:val="left"/>
              <w:rPr>
                <w:rFonts w:eastAsia="Calibri" w:cs="Times New Roman"/>
                <w:b/>
                <w:szCs w:val="22"/>
                <w:lang w:eastAsia="en-US"/>
              </w:rPr>
            </w:pPr>
            <w:r w:rsidRPr="006A68D8">
              <w:rPr>
                <w:rFonts w:eastAsia="Calibri" w:cs="Times New Roman"/>
                <w:b/>
                <w:szCs w:val="22"/>
                <w:lang w:eastAsia="en-US"/>
              </w:rPr>
              <w:t>1</w:t>
            </w:r>
          </w:p>
          <w:p w14:paraId="7B9C0EC5" w14:textId="2F1712E6" w:rsidR="0017711B" w:rsidRPr="006A68D8" w:rsidRDefault="0017711B" w:rsidP="001F7C08">
            <w:pPr>
              <w:spacing w:after="0"/>
              <w:jc w:val="left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793F99" w:rsidRPr="003C6410" w14:paraId="226FDC92" w14:textId="77777777" w:rsidTr="001F7C08">
        <w:trPr>
          <w:trHeight w:val="4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46B3E" w14:textId="77777777" w:rsidR="00793F99" w:rsidRPr="003C6410" w:rsidRDefault="00793F99" w:rsidP="001F7C08">
            <w:pPr>
              <w:snapToGrid w:val="0"/>
              <w:spacing w:after="0"/>
              <w:jc w:val="center"/>
              <w:rPr>
                <w:rFonts w:eastAsia="Calibri" w:cs="Times New Roman"/>
                <w:b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32874" w14:textId="77777777" w:rsidR="00793F99" w:rsidRPr="003C6410" w:rsidRDefault="00793F99" w:rsidP="001F7C08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117CB" w14:textId="77777777" w:rsidR="001F4D86" w:rsidRPr="001F4D86" w:rsidRDefault="001F4D86" w:rsidP="001F7C08">
            <w:pPr>
              <w:spacing w:after="0"/>
              <w:contextualSpacing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  <w:r w:rsidRPr="001F4D86">
              <w:rPr>
                <w:rFonts w:eastAsia="Calibri" w:cs="Times New Roman"/>
                <w:b/>
                <w:i/>
                <w:szCs w:val="22"/>
                <w:lang w:eastAsia="en-US"/>
              </w:rPr>
              <w:t xml:space="preserve">Dissesto idrogeologico  </w:t>
            </w:r>
          </w:p>
          <w:p w14:paraId="3883B897" w14:textId="55D4550E" w:rsidR="00793F99" w:rsidRPr="003518A5" w:rsidRDefault="00775139" w:rsidP="001F7C08">
            <w:pPr>
              <w:spacing w:after="0"/>
              <w:contextualSpacing/>
              <w:jc w:val="left"/>
              <w:rPr>
                <w:rFonts w:eastAsia="Calibri" w:cs="Times New Roman"/>
                <w:szCs w:val="22"/>
                <w:lang w:eastAsia="en-US"/>
              </w:rPr>
            </w:pPr>
            <w:r>
              <w:rPr>
                <w:rFonts w:eastAsia="Calibri" w:cs="Times New Roman"/>
                <w:szCs w:val="22"/>
                <w:lang w:eastAsia="en-US"/>
              </w:rPr>
              <w:t xml:space="preserve">Presenza di zone </w:t>
            </w:r>
            <w:r w:rsidR="001F4D86">
              <w:rPr>
                <w:rFonts w:eastAsia="Calibri" w:cs="Times New Roman"/>
                <w:szCs w:val="22"/>
                <w:lang w:eastAsia="en-US"/>
              </w:rPr>
              <w:t>a pericolosità media e/o elevata individuate dalla pianificazione di Bacino (PAI, PGRA)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D78D1" w14:textId="6D2D8870" w:rsidR="00793F99" w:rsidRPr="006A68D8" w:rsidRDefault="001F4D86" w:rsidP="001F7C08">
            <w:pPr>
              <w:spacing w:after="0"/>
              <w:jc w:val="left"/>
              <w:rPr>
                <w:rFonts w:eastAsia="Calibri" w:cs="Times New Roman"/>
                <w:b/>
                <w:szCs w:val="22"/>
                <w:lang w:eastAsia="en-US"/>
              </w:rPr>
            </w:pPr>
            <w:r w:rsidRPr="006A68D8">
              <w:rPr>
                <w:rFonts w:eastAsia="Calibri" w:cs="Times New Roman"/>
                <w:b/>
                <w:szCs w:val="22"/>
                <w:lang w:eastAsia="en-US"/>
              </w:rPr>
              <w:t>1</w:t>
            </w:r>
          </w:p>
          <w:p w14:paraId="304D5984" w14:textId="6375B745" w:rsidR="0017711B" w:rsidRPr="006A68D8" w:rsidRDefault="0017711B" w:rsidP="001F7C08">
            <w:pPr>
              <w:spacing w:after="0"/>
              <w:jc w:val="left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793F99" w:rsidRPr="003C6410" w14:paraId="439618E1" w14:textId="77777777" w:rsidTr="001F7C08">
        <w:trPr>
          <w:trHeight w:val="727"/>
        </w:trPr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B49D8" w14:textId="429831A6" w:rsidR="00793F99" w:rsidRPr="003C6410" w:rsidRDefault="0038172A" w:rsidP="001F7C08">
            <w:pPr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eastAsia="en-US"/>
              </w:rPr>
              <w:t>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778A1" w14:textId="78357CA5" w:rsidR="00793F99" w:rsidRPr="003C6410" w:rsidRDefault="00793F99" w:rsidP="004F7E69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b/>
                <w:i/>
                <w:szCs w:val="22"/>
                <w:lang w:eastAsia="en-US"/>
              </w:rPr>
              <w:t>Caratteristiche</w:t>
            </w:r>
            <w:r w:rsidR="00A5776F">
              <w:rPr>
                <w:rFonts w:eastAsia="Calibri" w:cs="Times New Roman"/>
                <w:b/>
                <w:i/>
                <w:szCs w:val="22"/>
                <w:lang w:eastAsia="en-US"/>
              </w:rPr>
              <w:t xml:space="preserve"> ambientali </w:t>
            </w:r>
            <w:r>
              <w:rPr>
                <w:rFonts w:eastAsia="Calibri" w:cs="Times New Roman"/>
                <w:b/>
                <w:i/>
                <w:szCs w:val="22"/>
                <w:lang w:eastAsia="en-US"/>
              </w:rPr>
              <w:t>del territorio</w:t>
            </w:r>
          </w:p>
        </w:tc>
        <w:tc>
          <w:tcPr>
            <w:tcW w:w="49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B9925" w14:textId="0D6D66C4" w:rsidR="00793F99" w:rsidRPr="003518A5" w:rsidRDefault="00775139" w:rsidP="00775139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  <w:r w:rsidRPr="003518A5">
              <w:rPr>
                <w:rFonts w:eastAsia="Calibri" w:cs="Times New Roman"/>
                <w:szCs w:val="22"/>
                <w:lang w:eastAsia="en-US"/>
              </w:rPr>
              <w:t>Comun</w:t>
            </w:r>
            <w:r w:rsidR="00BD6BA9">
              <w:rPr>
                <w:rFonts w:eastAsia="Calibri" w:cs="Times New Roman"/>
                <w:szCs w:val="22"/>
                <w:lang w:eastAsia="en-US"/>
              </w:rPr>
              <w:t>e</w:t>
            </w:r>
            <w:r w:rsidRPr="003518A5">
              <w:rPr>
                <w:rFonts w:eastAsia="Calibri" w:cs="Times New Roman"/>
                <w:szCs w:val="22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2"/>
                <w:lang w:eastAsia="en-US"/>
              </w:rPr>
              <w:t>ricadent</w:t>
            </w:r>
            <w:r w:rsidR="00BD6BA9">
              <w:rPr>
                <w:rFonts w:eastAsia="Calibri" w:cs="Times New Roman"/>
                <w:szCs w:val="22"/>
                <w:lang w:eastAsia="en-US"/>
              </w:rPr>
              <w:t>e</w:t>
            </w:r>
            <w:r>
              <w:rPr>
                <w:rFonts w:eastAsia="Calibri" w:cs="Times New Roman"/>
                <w:szCs w:val="22"/>
                <w:lang w:eastAsia="en-US"/>
              </w:rPr>
              <w:t xml:space="preserve"> all’interno</w:t>
            </w:r>
            <w:r w:rsidRPr="003518A5">
              <w:rPr>
                <w:rFonts w:eastAsia="Calibri" w:cs="Times New Roman"/>
                <w:szCs w:val="22"/>
                <w:lang w:eastAsia="en-US"/>
              </w:rPr>
              <w:t xml:space="preserve"> di un Parco Nazionale o Regionale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066B" w14:textId="77777777" w:rsidR="00793F99" w:rsidRPr="006A68D8" w:rsidRDefault="00793F99" w:rsidP="001F7C08">
            <w:pPr>
              <w:spacing w:after="0"/>
              <w:jc w:val="left"/>
              <w:rPr>
                <w:rFonts w:eastAsia="Calibri" w:cs="Times New Roman"/>
                <w:b/>
                <w:szCs w:val="22"/>
                <w:lang w:eastAsia="en-US"/>
              </w:rPr>
            </w:pPr>
            <w:r w:rsidRPr="006A68D8">
              <w:rPr>
                <w:rFonts w:eastAsia="Calibri" w:cs="Times New Roman"/>
                <w:b/>
                <w:szCs w:val="22"/>
                <w:lang w:eastAsia="en-US"/>
              </w:rPr>
              <w:t>1</w:t>
            </w:r>
          </w:p>
        </w:tc>
      </w:tr>
      <w:tr w:rsidR="00793F99" w:rsidRPr="003C6410" w14:paraId="00690579" w14:textId="77777777" w:rsidTr="00793F99">
        <w:trPr>
          <w:trHeight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35E1" w14:textId="77777777" w:rsidR="00793F99" w:rsidRPr="003C6410" w:rsidRDefault="00793F99" w:rsidP="001F7C08">
            <w:pPr>
              <w:snapToGrid w:val="0"/>
              <w:spacing w:after="0"/>
              <w:jc w:val="center"/>
              <w:rPr>
                <w:rFonts w:eastAsia="Calibri" w:cs="Times New Roman"/>
                <w:b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54D760" w14:textId="77777777" w:rsidR="00793F99" w:rsidRPr="003C6410" w:rsidRDefault="00793F99" w:rsidP="001F7C08">
            <w:pPr>
              <w:spacing w:after="0"/>
              <w:jc w:val="lef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01DFCE" w14:textId="77777777" w:rsidR="00793F99" w:rsidRPr="003C6410" w:rsidRDefault="00793F99" w:rsidP="00793F99">
            <w:pPr>
              <w:spacing w:after="0"/>
              <w:jc w:val="right"/>
              <w:rPr>
                <w:rFonts w:eastAsia="Calibri" w:cs="Times New Roman"/>
                <w:b/>
                <w:i/>
                <w:szCs w:val="22"/>
                <w:lang w:eastAsia="en-US"/>
              </w:rPr>
            </w:pPr>
            <w:r w:rsidRPr="003C6410">
              <w:rPr>
                <w:rFonts w:eastAsia="Calibri" w:cs="Times New Roman"/>
                <w:b/>
                <w:i/>
                <w:szCs w:val="22"/>
                <w:lang w:eastAsia="en-US"/>
              </w:rPr>
              <w:t>Totale Punteggio T</w:t>
            </w:r>
          </w:p>
          <w:p w14:paraId="5AD74129" w14:textId="7343C040" w:rsidR="00793F99" w:rsidRPr="003518A5" w:rsidRDefault="00793F99" w:rsidP="00775139">
            <w:pPr>
              <w:spacing w:after="0"/>
              <w:jc w:val="right"/>
            </w:pPr>
            <w:r w:rsidRPr="003C6410">
              <w:rPr>
                <w:b/>
              </w:rPr>
              <w:t>A+B+C+D+E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A015" w14:textId="77777777" w:rsidR="00793F99" w:rsidRDefault="00793F99" w:rsidP="001F7C08">
            <w:pPr>
              <w:spacing w:after="0"/>
              <w:jc w:val="left"/>
              <w:rPr>
                <w:rFonts w:eastAsia="Calibri" w:cs="Times New Roman"/>
                <w:szCs w:val="22"/>
                <w:lang w:eastAsia="en-US"/>
              </w:rPr>
            </w:pPr>
          </w:p>
        </w:tc>
      </w:tr>
    </w:tbl>
    <w:p w14:paraId="0E0B1F1C" w14:textId="77777777" w:rsidR="006A68D8" w:rsidRDefault="006A68D8" w:rsidP="006A68D8">
      <w:pPr>
        <w:pStyle w:val="Paragrafoelenco"/>
        <w:suppressAutoHyphens w:val="0"/>
        <w:autoSpaceDE w:val="0"/>
        <w:autoSpaceDN w:val="0"/>
        <w:adjustRightInd w:val="0"/>
        <w:spacing w:after="0"/>
        <w:ind w:left="142"/>
        <w:rPr>
          <w:rFonts w:ascii="Times New Roman" w:hAnsi="Times New Roman"/>
          <w:sz w:val="18"/>
          <w:szCs w:val="18"/>
          <w:lang w:eastAsia="it-IT"/>
        </w:rPr>
      </w:pPr>
    </w:p>
    <w:p w14:paraId="39A6E1CA" w14:textId="390C2E3E" w:rsidR="00F20DBD" w:rsidRPr="006A68D8" w:rsidRDefault="00F20DBD" w:rsidP="006A68D8">
      <w:pPr>
        <w:pStyle w:val="Paragrafoelenco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lang w:eastAsia="it-IT"/>
        </w:rPr>
      </w:pPr>
      <w:r w:rsidRPr="006A68D8">
        <w:rPr>
          <w:rFonts w:ascii="Times New Roman" w:hAnsi="Times New Roman"/>
          <w:lang w:eastAsia="it-IT"/>
        </w:rPr>
        <w:t>Per determinare la</w:t>
      </w:r>
      <w:r w:rsidR="0029064B">
        <w:rPr>
          <w:rFonts w:ascii="Times New Roman" w:hAnsi="Times New Roman"/>
          <w:lang w:eastAsia="it-IT"/>
        </w:rPr>
        <w:t xml:space="preserve"> categoria di appartenenza del c</w:t>
      </w:r>
      <w:r w:rsidRPr="006A68D8">
        <w:rPr>
          <w:rFonts w:ascii="Times New Roman" w:hAnsi="Times New Roman"/>
          <w:lang w:eastAsia="it-IT"/>
        </w:rPr>
        <w:t xml:space="preserve">omune richiedente, </w:t>
      </w:r>
      <w:r w:rsidR="00BE514C">
        <w:rPr>
          <w:rFonts w:ascii="Times New Roman" w:hAnsi="Times New Roman"/>
          <w:lang w:eastAsia="it-IT"/>
        </w:rPr>
        <w:t>è fatto riferimento</w:t>
      </w:r>
      <w:r w:rsidRPr="006A68D8">
        <w:rPr>
          <w:rFonts w:ascii="Times New Roman" w:hAnsi="Times New Roman"/>
          <w:lang w:eastAsia="it-IT"/>
        </w:rPr>
        <w:t xml:space="preserve"> </w:t>
      </w:r>
      <w:r w:rsidR="006A68D8">
        <w:rPr>
          <w:rFonts w:ascii="Times New Roman" w:hAnsi="Times New Roman"/>
          <w:lang w:eastAsia="it-IT"/>
        </w:rPr>
        <w:t xml:space="preserve">ai dati ISTAT </w:t>
      </w:r>
      <w:r w:rsidRPr="006A68D8">
        <w:rPr>
          <w:rFonts w:ascii="Times New Roman" w:hAnsi="Times New Roman"/>
          <w:lang w:eastAsia="it-IT"/>
        </w:rPr>
        <w:t xml:space="preserve">Popolazione residente </w:t>
      </w:r>
      <w:r w:rsidRPr="00A175E3">
        <w:rPr>
          <w:rFonts w:ascii="Times New Roman" w:hAnsi="Times New Roman"/>
          <w:lang w:eastAsia="it-IT"/>
        </w:rPr>
        <w:t xml:space="preserve">al </w:t>
      </w:r>
      <w:r w:rsidRPr="0051160A">
        <w:rPr>
          <w:rFonts w:ascii="Times New Roman" w:hAnsi="Times New Roman"/>
          <w:lang w:eastAsia="it-IT"/>
        </w:rPr>
        <w:t>01</w:t>
      </w:r>
      <w:r w:rsidR="00F66C7E">
        <w:rPr>
          <w:rFonts w:ascii="Times New Roman" w:hAnsi="Times New Roman"/>
          <w:lang w:eastAsia="it-IT"/>
        </w:rPr>
        <w:t xml:space="preserve"> gennaio </w:t>
      </w:r>
      <w:r w:rsidRPr="0051160A">
        <w:rPr>
          <w:rFonts w:ascii="Times New Roman" w:hAnsi="Times New Roman"/>
          <w:lang w:eastAsia="it-IT"/>
        </w:rPr>
        <w:t>202</w:t>
      </w:r>
      <w:r w:rsidR="00B12A2A" w:rsidRPr="0051160A">
        <w:rPr>
          <w:rFonts w:ascii="Times New Roman" w:hAnsi="Times New Roman"/>
          <w:lang w:eastAsia="it-IT"/>
        </w:rPr>
        <w:t>4</w:t>
      </w:r>
      <w:r w:rsidR="000B06F0">
        <w:rPr>
          <w:rFonts w:ascii="Times New Roman" w:hAnsi="Times New Roman"/>
          <w:lang w:eastAsia="it-IT"/>
        </w:rPr>
        <w:t>.</w:t>
      </w:r>
    </w:p>
    <w:p w14:paraId="1F4EB975" w14:textId="3423D773" w:rsidR="004A66EF" w:rsidRPr="00BD6BA9" w:rsidRDefault="00DF47E0" w:rsidP="00C87638">
      <w:pPr>
        <w:rPr>
          <w:bCs/>
        </w:rPr>
      </w:pPr>
      <w:r w:rsidRPr="00BD6BA9">
        <w:rPr>
          <w:bCs/>
        </w:rPr>
        <w:t xml:space="preserve">Si evidenzia che per i comuni </w:t>
      </w:r>
      <w:r w:rsidR="004A66EF" w:rsidRPr="00BD6BA9">
        <w:rPr>
          <w:bCs/>
        </w:rPr>
        <w:t>istituiti per fusione di più comuni</w:t>
      </w:r>
      <w:r w:rsidRPr="00BD6BA9">
        <w:rPr>
          <w:bCs/>
        </w:rPr>
        <w:t xml:space="preserve">, ai sensi della LR 24 dicembre </w:t>
      </w:r>
      <w:r w:rsidR="00BD6BA9" w:rsidRPr="00BD6BA9">
        <w:rPr>
          <w:bCs/>
        </w:rPr>
        <w:t>1992</w:t>
      </w:r>
      <w:r w:rsidRPr="00BD6BA9">
        <w:rPr>
          <w:bCs/>
        </w:rPr>
        <w:t xml:space="preserve">, n. 25, i criteri di valutazione sopradescritti dovranno fare riferimento al nuovo comune istituito per fusione. </w:t>
      </w:r>
    </w:p>
    <w:p w14:paraId="11080955" w14:textId="77777777" w:rsidR="0051160A" w:rsidRDefault="0051160A" w:rsidP="00882D65">
      <w:pPr>
        <w:spacing w:after="0"/>
        <w:rPr>
          <w:b/>
        </w:rPr>
      </w:pPr>
    </w:p>
    <w:p w14:paraId="40D26933" w14:textId="1075C4B5" w:rsidR="00C87638" w:rsidRDefault="00885F3D" w:rsidP="00C87638">
      <w:pPr>
        <w:rPr>
          <w:b/>
        </w:rPr>
      </w:pPr>
      <w:r>
        <w:rPr>
          <w:b/>
        </w:rPr>
        <w:t>7</w:t>
      </w:r>
      <w:r w:rsidR="00C87638">
        <w:rPr>
          <w:b/>
        </w:rPr>
        <w:t xml:space="preserve">. </w:t>
      </w:r>
      <w:r w:rsidR="00144DDC" w:rsidRPr="00C87638">
        <w:rPr>
          <w:b/>
        </w:rPr>
        <w:t>Formazione della graduatoria e concessione del</w:t>
      </w:r>
      <w:r w:rsidR="0004060B" w:rsidRPr="00C87638">
        <w:rPr>
          <w:b/>
        </w:rPr>
        <w:t xml:space="preserve"> contributo</w:t>
      </w:r>
      <w:r w:rsidR="00144DDC" w:rsidRPr="00C87638">
        <w:rPr>
          <w:b/>
        </w:rPr>
        <w:t xml:space="preserve"> </w:t>
      </w:r>
    </w:p>
    <w:p w14:paraId="6AF68269" w14:textId="17F5FFE3" w:rsidR="00212976" w:rsidRPr="00C87638" w:rsidRDefault="00144DDC" w:rsidP="00C87638">
      <w:pPr>
        <w:rPr>
          <w:b/>
        </w:rPr>
      </w:pPr>
      <w:r w:rsidRPr="003C6410">
        <w:t>La Direzione Pianificazione Territoriale provvederà a</w:t>
      </w:r>
      <w:r w:rsidR="00BE514C">
        <w:t>d istruire</w:t>
      </w:r>
      <w:r w:rsidRPr="003C6410">
        <w:t>, in base ai criteri stabiliti nel presen</w:t>
      </w:r>
      <w:r w:rsidR="007D42FE">
        <w:t>te bando, le domande pervenute.</w:t>
      </w:r>
    </w:p>
    <w:p w14:paraId="26EC32E9" w14:textId="77777777" w:rsidR="007D42FE" w:rsidRPr="00206E0D" w:rsidRDefault="007D42FE" w:rsidP="009D55C7">
      <w:pPr>
        <w:suppressAutoHyphens w:val="0"/>
        <w:autoSpaceDE w:val="0"/>
        <w:autoSpaceDN w:val="0"/>
        <w:adjustRightInd w:val="0"/>
        <w:rPr>
          <w:rFonts w:cs="Times New Roman"/>
          <w:szCs w:val="22"/>
          <w:lang w:eastAsia="it-IT"/>
        </w:rPr>
      </w:pPr>
      <w:r w:rsidRPr="00206E0D">
        <w:rPr>
          <w:rFonts w:cs="Times New Roman"/>
          <w:szCs w:val="22"/>
          <w:lang w:eastAsia="it-IT"/>
        </w:rPr>
        <w:t xml:space="preserve">A parità </w:t>
      </w:r>
      <w:r>
        <w:rPr>
          <w:rFonts w:cs="Times New Roman"/>
          <w:szCs w:val="22"/>
          <w:lang w:eastAsia="it-IT"/>
        </w:rPr>
        <w:t>di punteggio totale (A+B+C+D+E</w:t>
      </w:r>
      <w:r w:rsidRPr="00206E0D">
        <w:rPr>
          <w:rFonts w:cs="Times New Roman"/>
          <w:szCs w:val="22"/>
          <w:lang w:eastAsia="it-IT"/>
        </w:rPr>
        <w:t xml:space="preserve">) il contributo è assegnato in base all’ordine cronologico di </w:t>
      </w:r>
      <w:r>
        <w:rPr>
          <w:rFonts w:cs="Times New Roman"/>
          <w:szCs w:val="22"/>
          <w:lang w:eastAsia="it-IT"/>
        </w:rPr>
        <w:t xml:space="preserve">presentazione delle domande; a tal fine </w:t>
      </w:r>
      <w:r w:rsidRPr="00206E0D">
        <w:rPr>
          <w:rFonts w:cs="Times New Roman"/>
          <w:szCs w:val="22"/>
          <w:lang w:eastAsia="it-IT"/>
        </w:rPr>
        <w:t>farà fede la data e l’ora di acquisizione della domanda da parte del sistema elettronico di protocollo regionale.</w:t>
      </w:r>
    </w:p>
    <w:p w14:paraId="5002DB39" w14:textId="4AE39939" w:rsidR="00144DDC" w:rsidRPr="003C6410" w:rsidRDefault="00BE514C" w:rsidP="00BE514C">
      <w:pPr>
        <w:spacing w:after="0"/>
      </w:pPr>
      <w:r>
        <w:rPr>
          <w:rFonts w:eastAsia="TimesNewRoman-Identity-H" w:cs="Times New Roman"/>
          <w:szCs w:val="22"/>
          <w:lang w:eastAsia="it-IT"/>
        </w:rPr>
        <w:t>In esito all’attività istruttoria,</w:t>
      </w:r>
      <w:r w:rsidR="007D42FE" w:rsidRPr="00D65E76">
        <w:rPr>
          <w:rFonts w:eastAsia="TimesNewRoman-Identity-H" w:cs="Times New Roman"/>
          <w:szCs w:val="22"/>
          <w:lang w:eastAsia="it-IT"/>
        </w:rPr>
        <w:t xml:space="preserve"> </w:t>
      </w:r>
      <w:r>
        <w:rPr>
          <w:rFonts w:eastAsia="TimesNewRoman-Identity-H" w:cs="Times New Roman"/>
          <w:szCs w:val="22"/>
          <w:lang w:eastAsia="it-IT"/>
        </w:rPr>
        <w:t>i</w:t>
      </w:r>
      <w:r w:rsidR="00144DDC" w:rsidRPr="003C6410">
        <w:t>l Direttore della Direzione Pianificazione Territoriale approva con proprio provvedimento:</w:t>
      </w:r>
    </w:p>
    <w:p w14:paraId="18A0EBE9" w14:textId="187A059D" w:rsidR="00144DDC" w:rsidRPr="003C6410" w:rsidRDefault="0004060B" w:rsidP="00F7392C">
      <w:pPr>
        <w:numPr>
          <w:ilvl w:val="0"/>
          <w:numId w:val="6"/>
        </w:numPr>
        <w:spacing w:after="63"/>
        <w:ind w:left="284" w:hanging="284"/>
      </w:pPr>
      <w:r w:rsidRPr="003C6410">
        <w:t>l’</w:t>
      </w:r>
      <w:r w:rsidR="00144DDC" w:rsidRPr="003C6410">
        <w:t xml:space="preserve">elenco delle domande pervenute, con </w:t>
      </w:r>
      <w:r w:rsidR="00F7392C">
        <w:t>indicazione delle domande ammissibili e delle domande non ammissibili con la relativa motivazione</w:t>
      </w:r>
      <w:r w:rsidR="00144DDC" w:rsidRPr="003C6410">
        <w:t>;</w:t>
      </w:r>
    </w:p>
    <w:p w14:paraId="7086F7B9" w14:textId="1C360CB6" w:rsidR="00144DDC" w:rsidRPr="003C6410" w:rsidRDefault="00C87638">
      <w:pPr>
        <w:numPr>
          <w:ilvl w:val="0"/>
          <w:numId w:val="6"/>
        </w:numPr>
        <w:spacing w:after="63"/>
        <w:ind w:left="284" w:hanging="284"/>
      </w:pPr>
      <w:r>
        <w:t>la graduatoria</w:t>
      </w:r>
      <w:r w:rsidR="00144DDC" w:rsidRPr="003C6410">
        <w:t xml:space="preserve"> delle domande ammesse a contributo e finanziate con le risorse finanziarie disponibili;</w:t>
      </w:r>
    </w:p>
    <w:p w14:paraId="27C97BE8" w14:textId="60927031" w:rsidR="00E57BAE" w:rsidRDefault="00C87638" w:rsidP="00C87638">
      <w:pPr>
        <w:numPr>
          <w:ilvl w:val="0"/>
          <w:numId w:val="6"/>
        </w:numPr>
        <w:spacing w:after="63"/>
        <w:ind w:left="284" w:hanging="284"/>
      </w:pPr>
      <w:r w:rsidRPr="00C87638">
        <w:t>la graduatoria</w:t>
      </w:r>
      <w:r w:rsidR="0004060B" w:rsidRPr="003C6410">
        <w:t xml:space="preserve"> </w:t>
      </w:r>
      <w:r w:rsidR="00144DDC" w:rsidRPr="003C6410">
        <w:t>delle domande ammissibili ma non finanziate per esaurimento dei fondi stanziati.</w:t>
      </w:r>
    </w:p>
    <w:p w14:paraId="7BBDCF21" w14:textId="77777777" w:rsidR="00A175E3" w:rsidRDefault="00A175E3" w:rsidP="00A175E3">
      <w:pPr>
        <w:suppressAutoHyphens w:val="0"/>
        <w:spacing w:after="0"/>
        <w:jc w:val="left"/>
        <w:rPr>
          <w:rFonts w:cs="Times New Roman"/>
          <w:szCs w:val="22"/>
        </w:rPr>
      </w:pPr>
    </w:p>
    <w:p w14:paraId="2999818A" w14:textId="381D3300" w:rsidR="00A175E3" w:rsidRPr="00A175E3" w:rsidRDefault="00A175E3" w:rsidP="00A175E3">
      <w:pPr>
        <w:suppressAutoHyphens w:val="0"/>
        <w:spacing w:after="0"/>
        <w:rPr>
          <w:rFonts w:cs="Times New Roman"/>
          <w:szCs w:val="22"/>
          <w:lang w:eastAsia="it-IT"/>
        </w:rPr>
      </w:pPr>
      <w:r>
        <w:rPr>
          <w:rFonts w:cs="Times New Roman"/>
          <w:shd w:val="clear" w:color="auto" w:fill="FFFFFF"/>
          <w:lang w:eastAsia="it-IT"/>
        </w:rPr>
        <w:t>L</w:t>
      </w:r>
      <w:r w:rsidRPr="00A175E3">
        <w:rPr>
          <w:rFonts w:cs="Times New Roman"/>
          <w:shd w:val="clear" w:color="auto" w:fill="FFFFFF"/>
          <w:lang w:eastAsia="it-IT"/>
        </w:rPr>
        <w:t>e graduatorie conservano validità fino al 31 dicembre 202</w:t>
      </w:r>
      <w:r w:rsidR="00C8658F">
        <w:rPr>
          <w:rFonts w:cs="Times New Roman"/>
          <w:shd w:val="clear" w:color="auto" w:fill="FFFFFF"/>
          <w:lang w:eastAsia="it-IT"/>
        </w:rPr>
        <w:t>6</w:t>
      </w:r>
      <w:r w:rsidRPr="00A175E3">
        <w:rPr>
          <w:rFonts w:cs="Times New Roman"/>
          <w:shd w:val="clear" w:color="auto" w:fill="FFFFFF"/>
          <w:lang w:eastAsia="it-IT"/>
        </w:rPr>
        <w:t>, al fine di consentire, previo scorrimento, l’eventuale finanziamento delle stesse, nel caso di disponibilità di ulteriori risorse finanziarie</w:t>
      </w:r>
      <w:r>
        <w:rPr>
          <w:rFonts w:cs="Times New Roman"/>
          <w:shd w:val="clear" w:color="auto" w:fill="FFFFFF"/>
          <w:lang w:eastAsia="it-IT"/>
        </w:rPr>
        <w:t>.</w:t>
      </w:r>
    </w:p>
    <w:p w14:paraId="73E3FF83" w14:textId="77777777" w:rsidR="00A175E3" w:rsidRDefault="00A175E3" w:rsidP="009D55C7">
      <w:pPr>
        <w:spacing w:after="0"/>
        <w:rPr>
          <w:rFonts w:cs="Times New Roman"/>
          <w:szCs w:val="22"/>
        </w:rPr>
      </w:pPr>
    </w:p>
    <w:p w14:paraId="448A956C" w14:textId="213B1D69" w:rsidR="00C87638" w:rsidRPr="003C6410" w:rsidRDefault="00C87638" w:rsidP="009D55C7">
      <w:pPr>
        <w:spacing w:after="0"/>
      </w:pPr>
      <w:r>
        <w:rPr>
          <w:rFonts w:cs="Times New Roman"/>
          <w:szCs w:val="22"/>
        </w:rPr>
        <w:t>Gli elaborati saranno pubblicati</w:t>
      </w:r>
      <w:r w:rsidR="00144DDC" w:rsidRPr="003C6410">
        <w:rPr>
          <w:rFonts w:cs="Times New Roman"/>
          <w:szCs w:val="22"/>
        </w:rPr>
        <w:t xml:space="preserve"> sul sito istituzionale https://www.regione.veneto.it </w:t>
      </w:r>
      <w:r w:rsidR="00144DDC" w:rsidRPr="003C6410">
        <w:t>sezione Bandi - Avvisi - Concorsi</w:t>
      </w:r>
      <w:r w:rsidR="00144DDC" w:rsidRPr="003C6410">
        <w:rPr>
          <w:rFonts w:cs="Times New Roman"/>
          <w:szCs w:val="22"/>
        </w:rPr>
        <w:t xml:space="preserve"> e sul portale WEB regionale opportunamen</w:t>
      </w:r>
      <w:r w:rsidR="00F7392C">
        <w:rPr>
          <w:rFonts w:cs="Times New Roman"/>
          <w:szCs w:val="22"/>
        </w:rPr>
        <w:t xml:space="preserve">te dedicato alla </w:t>
      </w:r>
      <w:r w:rsidR="00046AD6">
        <w:rPr>
          <w:rFonts w:cs="Times New Roman"/>
          <w:szCs w:val="22"/>
        </w:rPr>
        <w:t xml:space="preserve">disciplina </w:t>
      </w:r>
      <w:r w:rsidR="00F7392C" w:rsidRPr="006A68D8">
        <w:rPr>
          <w:rFonts w:cs="Times New Roman"/>
          <w:szCs w:val="22"/>
        </w:rPr>
        <w:t>della L</w:t>
      </w:r>
      <w:r w:rsidR="006A3893">
        <w:rPr>
          <w:rFonts w:cs="Times New Roman"/>
          <w:szCs w:val="22"/>
        </w:rPr>
        <w:t>.</w:t>
      </w:r>
      <w:r w:rsidR="00F7392C" w:rsidRPr="006A68D8">
        <w:rPr>
          <w:rFonts w:cs="Times New Roman"/>
          <w:szCs w:val="22"/>
        </w:rPr>
        <w:t>R</w:t>
      </w:r>
      <w:r w:rsidR="006A3893">
        <w:rPr>
          <w:rFonts w:cs="Times New Roman"/>
          <w:szCs w:val="22"/>
        </w:rPr>
        <w:t>. n.</w:t>
      </w:r>
      <w:r w:rsidR="00F7392C" w:rsidRPr="006A68D8">
        <w:rPr>
          <w:rFonts w:cs="Times New Roman"/>
          <w:szCs w:val="22"/>
        </w:rPr>
        <w:t xml:space="preserve"> 11/2004</w:t>
      </w:r>
      <w:r w:rsidR="00BE514C">
        <w:rPr>
          <w:rFonts w:cs="Times New Roman"/>
          <w:szCs w:val="22"/>
        </w:rPr>
        <w:t>: d</w:t>
      </w:r>
      <w:r w:rsidRPr="003C6410">
        <w:rPr>
          <w:rFonts w:cs="Times New Roman"/>
          <w:szCs w:val="22"/>
        </w:rPr>
        <w:t xml:space="preserve">ette pubblicazioni hanno valore di comunicazione e notifica agli interessati. </w:t>
      </w:r>
    </w:p>
    <w:p w14:paraId="512D799B" w14:textId="77777777" w:rsidR="009D55C7" w:rsidRDefault="009D55C7" w:rsidP="00882D65">
      <w:pPr>
        <w:spacing w:after="0"/>
        <w:rPr>
          <w:b/>
        </w:rPr>
      </w:pPr>
      <w:bookmarkStart w:id="1" w:name="_GoBack"/>
      <w:bookmarkEnd w:id="1"/>
    </w:p>
    <w:p w14:paraId="401EDDD9" w14:textId="4F7EDE92" w:rsidR="00144DDC" w:rsidRPr="00C87638" w:rsidRDefault="00885F3D" w:rsidP="00C87638">
      <w:pPr>
        <w:rPr>
          <w:b/>
        </w:rPr>
      </w:pPr>
      <w:r>
        <w:rPr>
          <w:b/>
        </w:rPr>
        <w:t>8</w:t>
      </w:r>
      <w:r w:rsidR="00C87638" w:rsidRPr="00C87638">
        <w:rPr>
          <w:b/>
        </w:rPr>
        <w:t xml:space="preserve">. </w:t>
      </w:r>
      <w:r w:rsidR="00144DDC" w:rsidRPr="00C87638">
        <w:rPr>
          <w:b/>
        </w:rPr>
        <w:t>Protocollo di Intesa</w:t>
      </w:r>
    </w:p>
    <w:p w14:paraId="58C8EA80" w14:textId="77777777" w:rsidR="002B2EF9" w:rsidRPr="0052161C" w:rsidRDefault="002B2EF9" w:rsidP="009D55C7">
      <w:pPr>
        <w:spacing w:after="0"/>
        <w:rPr>
          <w:strike/>
        </w:rPr>
      </w:pPr>
      <w:r w:rsidRPr="003C6410">
        <w:rPr>
          <w:rFonts w:cs="Times New Roman"/>
          <w:szCs w:val="22"/>
        </w:rPr>
        <w:t>I Comuni ammessi al contributo, dovranno sottoscrivere u</w:t>
      </w:r>
      <w:r>
        <w:rPr>
          <w:rFonts w:cs="Times New Roman"/>
          <w:szCs w:val="22"/>
        </w:rPr>
        <w:t>n apposito Protocollo di Intesa (</w:t>
      </w:r>
      <w:r>
        <w:rPr>
          <w:rFonts w:cs="Times New Roman"/>
          <w:b/>
          <w:szCs w:val="22"/>
        </w:rPr>
        <w:t>Allegato A2</w:t>
      </w:r>
      <w:r>
        <w:rPr>
          <w:rFonts w:cs="Times New Roman"/>
          <w:szCs w:val="22"/>
        </w:rPr>
        <w:t xml:space="preserve">) </w:t>
      </w:r>
      <w:r w:rsidRPr="003C6410">
        <w:rPr>
          <w:rFonts w:cs="Times New Roman"/>
          <w:szCs w:val="22"/>
        </w:rPr>
        <w:t xml:space="preserve">con la Regione, nel quale </w:t>
      </w:r>
      <w:r w:rsidRPr="00C87638">
        <w:rPr>
          <w:rFonts w:cs="Times New Roman"/>
          <w:szCs w:val="22"/>
        </w:rPr>
        <w:t xml:space="preserve">saranno stabilite le modalità di erogazione del contributo concesso, gli impegni reciproci, i tempi per l’approvazione del PAT/PATI, </w:t>
      </w:r>
      <w:r w:rsidRPr="00C87638">
        <w:t>nonché le cause di revoca e restituzione del contributo</w:t>
      </w:r>
      <w:r w:rsidRPr="003C6410">
        <w:t>.</w:t>
      </w:r>
    </w:p>
    <w:p w14:paraId="419D0130" w14:textId="0240BEDA" w:rsidR="009D55C7" w:rsidRDefault="0029064B" w:rsidP="00C87638">
      <w:pPr>
        <w:rPr>
          <w:bCs/>
          <w:szCs w:val="22"/>
        </w:rPr>
      </w:pPr>
      <w:r w:rsidRPr="0029064B">
        <w:rPr>
          <w:rFonts w:eastAsia="Wingdings" w:cs="Times New Roman"/>
          <w:szCs w:val="22"/>
        </w:rPr>
        <w:lastRenderedPageBreak/>
        <w:t>I</w:t>
      </w:r>
      <w:r>
        <w:rPr>
          <w:rFonts w:eastAsia="Wingdings" w:cs="Times New Roman"/>
          <w:szCs w:val="22"/>
        </w:rPr>
        <w:t xml:space="preserve"> comuni già beneficiari di </w:t>
      </w:r>
      <w:r w:rsidRPr="0029064B">
        <w:rPr>
          <w:rFonts w:eastAsia="Wingdings" w:cs="Times New Roman"/>
          <w:szCs w:val="22"/>
        </w:rPr>
        <w:t>contributo</w:t>
      </w:r>
      <w:r>
        <w:rPr>
          <w:rFonts w:eastAsia="Wingdings" w:cs="Times New Roman"/>
          <w:szCs w:val="22"/>
        </w:rPr>
        <w:t xml:space="preserve"> ai sensi dell’art. 47 della L</w:t>
      </w:r>
      <w:r w:rsidR="006A3893">
        <w:rPr>
          <w:rFonts w:eastAsia="Wingdings" w:cs="Times New Roman"/>
          <w:szCs w:val="22"/>
        </w:rPr>
        <w:t>.</w:t>
      </w:r>
      <w:r>
        <w:rPr>
          <w:rFonts w:eastAsia="Wingdings" w:cs="Times New Roman"/>
          <w:szCs w:val="22"/>
        </w:rPr>
        <w:t>R</w:t>
      </w:r>
      <w:r w:rsidR="006A3893">
        <w:rPr>
          <w:rFonts w:eastAsia="Wingdings" w:cs="Times New Roman"/>
          <w:szCs w:val="22"/>
        </w:rPr>
        <w:t>.</w:t>
      </w:r>
      <w:r>
        <w:rPr>
          <w:rFonts w:eastAsia="Wingdings" w:cs="Times New Roman"/>
          <w:szCs w:val="22"/>
        </w:rPr>
        <w:t xml:space="preserve"> </w:t>
      </w:r>
      <w:r w:rsidR="006A3893">
        <w:rPr>
          <w:rFonts w:eastAsia="Wingdings" w:cs="Times New Roman"/>
          <w:szCs w:val="22"/>
        </w:rPr>
        <w:t xml:space="preserve">n. </w:t>
      </w:r>
      <w:r>
        <w:rPr>
          <w:rFonts w:eastAsia="Wingdings" w:cs="Times New Roman"/>
          <w:szCs w:val="22"/>
        </w:rPr>
        <w:t>11/2004 in</w:t>
      </w:r>
      <w:r w:rsidRPr="0029064B">
        <w:rPr>
          <w:rFonts w:eastAsia="Wingdings" w:cs="Times New Roman"/>
          <w:szCs w:val="22"/>
        </w:rPr>
        <w:t xml:space="preserve"> precedenti esercizi finanziari oggetto di </w:t>
      </w:r>
      <w:r w:rsidRPr="006A3893">
        <w:rPr>
          <w:rFonts w:eastAsia="Wingdings" w:cs="Times New Roman"/>
          <w:szCs w:val="22"/>
        </w:rPr>
        <w:t>revoca</w:t>
      </w:r>
      <w:r w:rsidRPr="006A3893">
        <w:rPr>
          <w:rFonts w:cs="Times New Roman"/>
          <w:szCs w:val="22"/>
        </w:rPr>
        <w:t xml:space="preserve"> e che non abbiano ancora provveduto alla restituzione delle somme dovute alla Regione, </w:t>
      </w:r>
      <w:r w:rsidRPr="006A3893">
        <w:rPr>
          <w:rFonts w:eastAsia="Wingdings" w:cs="Times New Roman"/>
          <w:szCs w:val="22"/>
        </w:rPr>
        <w:t xml:space="preserve">dovranno </w:t>
      </w:r>
      <w:r w:rsidRPr="006A3893">
        <w:rPr>
          <w:bCs/>
          <w:szCs w:val="22"/>
        </w:rPr>
        <w:t xml:space="preserve">trasmettere il relativo mandato di pagamento prima della sottoscrizione di detto Protocollo </w:t>
      </w:r>
      <w:r w:rsidRPr="0029064B">
        <w:rPr>
          <w:bCs/>
          <w:szCs w:val="22"/>
        </w:rPr>
        <w:t>d’Intesa</w:t>
      </w:r>
      <w:r>
        <w:rPr>
          <w:bCs/>
          <w:szCs w:val="22"/>
        </w:rPr>
        <w:t>.</w:t>
      </w:r>
    </w:p>
    <w:p w14:paraId="08E6564A" w14:textId="77777777" w:rsidR="00003D74" w:rsidRPr="0029064B" w:rsidRDefault="00003D74" w:rsidP="00C87638">
      <w:pPr>
        <w:rPr>
          <w:b/>
          <w:szCs w:val="22"/>
        </w:rPr>
      </w:pPr>
    </w:p>
    <w:p w14:paraId="7551FBEF" w14:textId="2544206F" w:rsidR="00144DDC" w:rsidRPr="00C87638" w:rsidRDefault="00885F3D" w:rsidP="00C87638">
      <w:pPr>
        <w:rPr>
          <w:b/>
        </w:rPr>
      </w:pPr>
      <w:r>
        <w:rPr>
          <w:b/>
        </w:rPr>
        <w:t>9</w:t>
      </w:r>
      <w:r w:rsidR="00C87638">
        <w:rPr>
          <w:b/>
        </w:rPr>
        <w:t xml:space="preserve">. </w:t>
      </w:r>
      <w:r w:rsidR="00144DDC" w:rsidRPr="00C87638">
        <w:rPr>
          <w:b/>
        </w:rPr>
        <w:t xml:space="preserve">Obblighi a carico del </w:t>
      </w:r>
      <w:r w:rsidR="00C87638">
        <w:rPr>
          <w:b/>
        </w:rPr>
        <w:t xml:space="preserve">Comune </w:t>
      </w:r>
      <w:r w:rsidR="00144DDC" w:rsidRPr="00C87638">
        <w:rPr>
          <w:b/>
        </w:rPr>
        <w:t>beneficiario del</w:t>
      </w:r>
      <w:r w:rsidR="005B4AAF" w:rsidRPr="00C87638">
        <w:rPr>
          <w:b/>
        </w:rPr>
        <w:t xml:space="preserve"> contributo</w:t>
      </w:r>
      <w:r w:rsidR="00144DDC" w:rsidRPr="00C87638">
        <w:rPr>
          <w:b/>
        </w:rPr>
        <w:t xml:space="preserve"> </w:t>
      </w:r>
    </w:p>
    <w:p w14:paraId="5B672686" w14:textId="17894931" w:rsidR="00555E06" w:rsidRDefault="00D879CD" w:rsidP="00555E06">
      <w:pPr>
        <w:suppressAutoHyphens w:val="0"/>
        <w:autoSpaceDE w:val="0"/>
        <w:autoSpaceDN w:val="0"/>
        <w:adjustRightInd w:val="0"/>
        <w:contextualSpacing/>
        <w:jc w:val="left"/>
        <w:rPr>
          <w:rFonts w:cs="Times New Roman"/>
          <w:szCs w:val="22"/>
          <w:lang w:eastAsia="it-IT"/>
        </w:rPr>
      </w:pPr>
      <w:r>
        <w:rPr>
          <w:rFonts w:cs="Times New Roman"/>
          <w:szCs w:val="22"/>
          <w:lang w:eastAsia="it-IT"/>
        </w:rPr>
        <w:t xml:space="preserve">Il </w:t>
      </w:r>
      <w:r w:rsidR="0029064B">
        <w:rPr>
          <w:rFonts w:cs="Times New Roman"/>
          <w:szCs w:val="22"/>
          <w:lang w:eastAsia="it-IT"/>
        </w:rPr>
        <w:t>c</w:t>
      </w:r>
      <w:r w:rsidR="00C87638">
        <w:rPr>
          <w:rFonts w:cs="Times New Roman"/>
          <w:szCs w:val="22"/>
          <w:lang w:eastAsia="it-IT"/>
        </w:rPr>
        <w:t xml:space="preserve">omune </w:t>
      </w:r>
      <w:r>
        <w:rPr>
          <w:rFonts w:cs="Times New Roman"/>
          <w:szCs w:val="22"/>
          <w:lang w:eastAsia="it-IT"/>
        </w:rPr>
        <w:t>beneficiario si obbliga</w:t>
      </w:r>
      <w:r w:rsidR="00BE514C">
        <w:rPr>
          <w:rFonts w:cs="Times New Roman"/>
          <w:szCs w:val="22"/>
          <w:lang w:eastAsia="it-IT"/>
        </w:rPr>
        <w:t xml:space="preserve"> a</w:t>
      </w:r>
      <w:r w:rsidR="00555E06" w:rsidRPr="00555E06">
        <w:rPr>
          <w:rFonts w:cs="Times New Roman"/>
          <w:szCs w:val="22"/>
          <w:lang w:eastAsia="it-IT"/>
        </w:rPr>
        <w:t>:</w:t>
      </w:r>
    </w:p>
    <w:p w14:paraId="49637D03" w14:textId="3BC5A538" w:rsidR="00D879CD" w:rsidRDefault="00D879CD" w:rsidP="00D879CD">
      <w:pPr>
        <w:pStyle w:val="Paragrafoelenco"/>
        <w:numPr>
          <w:ilvl w:val="0"/>
          <w:numId w:val="36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redigere il </w:t>
      </w:r>
      <w:r w:rsidRPr="00805AF7">
        <w:rPr>
          <w:rFonts w:ascii="Times New Roman" w:hAnsi="Times New Roman"/>
          <w:lang w:eastAsia="it-IT"/>
        </w:rPr>
        <w:t>Pia</w:t>
      </w:r>
      <w:r w:rsidR="009D55C7">
        <w:rPr>
          <w:rFonts w:ascii="Times New Roman" w:hAnsi="Times New Roman"/>
          <w:lang w:eastAsia="it-IT"/>
        </w:rPr>
        <w:t>no di Assetto del Territorio/</w:t>
      </w:r>
      <w:r w:rsidRPr="00805AF7">
        <w:rPr>
          <w:rFonts w:ascii="Times New Roman" w:hAnsi="Times New Roman"/>
          <w:lang w:eastAsia="it-IT"/>
        </w:rPr>
        <w:t>Piano di Assetto del Territorio Intercomunale integrale</w:t>
      </w:r>
      <w:r>
        <w:rPr>
          <w:rFonts w:ascii="Times New Roman" w:hAnsi="Times New Roman"/>
          <w:lang w:eastAsia="it-IT"/>
        </w:rPr>
        <w:t xml:space="preserve"> ai sensi della L</w:t>
      </w:r>
      <w:r w:rsidR="006A3893">
        <w:rPr>
          <w:rFonts w:ascii="Times New Roman" w:hAnsi="Times New Roman"/>
          <w:lang w:eastAsia="it-IT"/>
        </w:rPr>
        <w:t>.</w:t>
      </w:r>
      <w:r>
        <w:rPr>
          <w:rFonts w:ascii="Times New Roman" w:hAnsi="Times New Roman"/>
          <w:lang w:eastAsia="it-IT"/>
        </w:rPr>
        <w:t>R</w:t>
      </w:r>
      <w:r w:rsidR="006A3893">
        <w:rPr>
          <w:rFonts w:ascii="Times New Roman" w:hAnsi="Times New Roman"/>
          <w:lang w:eastAsia="it-IT"/>
        </w:rPr>
        <w:t>. n.</w:t>
      </w:r>
      <w:r>
        <w:rPr>
          <w:rFonts w:ascii="Times New Roman" w:hAnsi="Times New Roman"/>
          <w:lang w:eastAsia="it-IT"/>
        </w:rPr>
        <w:t xml:space="preserve"> 11/2004;</w:t>
      </w:r>
    </w:p>
    <w:p w14:paraId="08BFB33C" w14:textId="73BD4090" w:rsidR="00D879CD" w:rsidRPr="00082BED" w:rsidRDefault="00D879CD" w:rsidP="00D879CD">
      <w:pPr>
        <w:pStyle w:val="Paragrafoelenco"/>
        <w:numPr>
          <w:ilvl w:val="0"/>
          <w:numId w:val="36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lang w:eastAsia="it-IT"/>
        </w:rPr>
      </w:pPr>
      <w:r w:rsidRPr="00082BED">
        <w:rPr>
          <w:rFonts w:ascii="Times New Roman" w:hAnsi="Times New Roman"/>
          <w:lang w:eastAsia="it-IT"/>
        </w:rPr>
        <w:t>trasmettere alla Regione</w:t>
      </w:r>
      <w:r w:rsidRPr="00164B5B">
        <w:rPr>
          <w:rFonts w:ascii="Times New Roman" w:hAnsi="Times New Roman"/>
          <w:lang w:eastAsia="it-IT"/>
        </w:rPr>
        <w:t xml:space="preserve"> </w:t>
      </w:r>
      <w:r>
        <w:rPr>
          <w:rFonts w:ascii="Times New Roman" w:hAnsi="Times New Roman"/>
          <w:lang w:eastAsia="it-IT"/>
        </w:rPr>
        <w:t>il provvedimento</w:t>
      </w:r>
      <w:r w:rsidRPr="00082BED">
        <w:rPr>
          <w:rFonts w:ascii="Times New Roman" w:hAnsi="Times New Roman"/>
          <w:lang w:eastAsia="it-IT"/>
        </w:rPr>
        <w:t xml:space="preserve"> di approvazione del Piano di Assetto del Territorio/del Piano di Assetto del Territorio Intercomunale integrale entro e non oltre 36 mesi dalla data </w:t>
      </w:r>
      <w:r>
        <w:rPr>
          <w:rFonts w:ascii="Times New Roman" w:hAnsi="Times New Roman"/>
          <w:lang w:eastAsia="it-IT"/>
        </w:rPr>
        <w:t xml:space="preserve">del </w:t>
      </w:r>
      <w:r w:rsidRPr="00082BED">
        <w:rPr>
          <w:rFonts w:ascii="Times New Roman" w:hAnsi="Times New Roman"/>
          <w:lang w:eastAsia="it-IT"/>
        </w:rPr>
        <w:t>decreto del Direttore della Direzione Pia</w:t>
      </w:r>
      <w:r>
        <w:rPr>
          <w:rFonts w:ascii="Times New Roman" w:hAnsi="Times New Roman"/>
          <w:lang w:eastAsia="it-IT"/>
        </w:rPr>
        <w:t>nificazione Territoriale di approvazione della graduatoria</w:t>
      </w:r>
      <w:r w:rsidRPr="00082BED">
        <w:rPr>
          <w:rFonts w:ascii="Times New Roman" w:hAnsi="Times New Roman"/>
          <w:lang w:eastAsia="it-IT"/>
        </w:rPr>
        <w:t>;</w:t>
      </w:r>
    </w:p>
    <w:p w14:paraId="3D4BC1CA" w14:textId="6D2444C3" w:rsidR="00D879CD" w:rsidRDefault="00D879CD" w:rsidP="00D879CD">
      <w:pPr>
        <w:pStyle w:val="Paragrafoelenco"/>
        <w:numPr>
          <w:ilvl w:val="0"/>
          <w:numId w:val="36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lang w:eastAsia="it-IT"/>
        </w:rPr>
      </w:pPr>
      <w:r w:rsidRPr="00082BED">
        <w:rPr>
          <w:rFonts w:ascii="Times New Roman" w:hAnsi="Times New Roman"/>
          <w:lang w:eastAsia="it-IT"/>
        </w:rPr>
        <w:t>rendicontare le spese sostenute entro 30 g</w:t>
      </w:r>
      <w:r>
        <w:rPr>
          <w:rFonts w:ascii="Times New Roman" w:hAnsi="Times New Roman"/>
          <w:lang w:eastAsia="it-IT"/>
        </w:rPr>
        <w:t>iorni dalla data del</w:t>
      </w:r>
      <w:r w:rsidRPr="00082BED">
        <w:rPr>
          <w:rFonts w:ascii="Times New Roman" w:hAnsi="Times New Roman"/>
          <w:lang w:eastAsia="it-IT"/>
        </w:rPr>
        <w:t xml:space="preserve"> provvedimento di approvazione del Piano di Assetto del Territorio/del Piano di Assetto del Territorio Intercomunale integrale;</w:t>
      </w:r>
    </w:p>
    <w:p w14:paraId="087DE059" w14:textId="6FDFB640" w:rsidR="00D879CD" w:rsidRPr="00D879CD" w:rsidRDefault="00BE514C" w:rsidP="006A3893">
      <w:pPr>
        <w:pStyle w:val="Paragrafoelenco"/>
        <w:numPr>
          <w:ilvl w:val="0"/>
          <w:numId w:val="36"/>
        </w:numPr>
        <w:autoSpaceDE w:val="0"/>
        <w:autoSpaceDN w:val="0"/>
        <w:adjustRightInd w:val="0"/>
        <w:ind w:left="284" w:hanging="280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restituire l’intero</w:t>
      </w:r>
      <w:r w:rsidR="00D879CD" w:rsidRPr="00082BED">
        <w:rPr>
          <w:rFonts w:ascii="Times New Roman" w:hAnsi="Times New Roman"/>
          <w:lang w:eastAsia="it-IT"/>
        </w:rPr>
        <w:t xml:space="preserve"> contributo qualora il Piano di Assetto del Territorio/ il Piano di Assetto del Territorio Intercomunale integrale non sia approvato con la procedura concertata di cui all’art. 15 </w:t>
      </w:r>
      <w:r w:rsidR="006A3893" w:rsidRPr="006A3893">
        <w:rPr>
          <w:rFonts w:ascii="Times New Roman" w:hAnsi="Times New Roman"/>
          <w:lang w:eastAsia="it-IT"/>
        </w:rPr>
        <w:t>della L.R. n. 11/2004</w:t>
      </w:r>
      <w:r w:rsidR="00D879CD">
        <w:rPr>
          <w:rFonts w:ascii="Times New Roman" w:hAnsi="Times New Roman"/>
          <w:lang w:eastAsia="it-IT"/>
        </w:rPr>
        <w:t xml:space="preserve">, qualora dichiarato nella domanda di ammissione al contributo; </w:t>
      </w:r>
    </w:p>
    <w:p w14:paraId="1E5636AE" w14:textId="113F1E91" w:rsidR="00D879CD" w:rsidRPr="00082BED" w:rsidRDefault="00BE514C" w:rsidP="00D879CD">
      <w:pPr>
        <w:pStyle w:val="Paragrafoelenco"/>
        <w:numPr>
          <w:ilvl w:val="0"/>
          <w:numId w:val="36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restituire </w:t>
      </w:r>
      <w:r w:rsidR="00D879CD" w:rsidRPr="00082BED">
        <w:rPr>
          <w:rFonts w:ascii="Times New Roman" w:hAnsi="Times New Roman"/>
          <w:lang w:eastAsia="it-IT"/>
        </w:rPr>
        <w:t>l’intero contributo qualora il Piano di Assetto del Territorio/ il Piano di Assetto del Territorio Intercomunale integrale non sia approvato en</w:t>
      </w:r>
      <w:r w:rsidR="00D879CD">
        <w:rPr>
          <w:rFonts w:ascii="Times New Roman" w:hAnsi="Times New Roman"/>
          <w:lang w:eastAsia="it-IT"/>
        </w:rPr>
        <w:t>tro il termine di cui al punto b</w:t>
      </w:r>
      <w:r w:rsidR="00D879CD" w:rsidRPr="00082BED">
        <w:rPr>
          <w:rFonts w:ascii="Times New Roman" w:hAnsi="Times New Roman"/>
          <w:lang w:eastAsia="it-IT"/>
        </w:rPr>
        <w:t xml:space="preserve">); ovvero quando non sia stata trasmessa alla Regione la documentazione relativa alla rendicontazione </w:t>
      </w:r>
      <w:r w:rsidR="00D879CD">
        <w:rPr>
          <w:rFonts w:ascii="Times New Roman" w:hAnsi="Times New Roman"/>
          <w:lang w:eastAsia="it-IT"/>
        </w:rPr>
        <w:t xml:space="preserve">di cui al punto c) </w:t>
      </w:r>
      <w:r w:rsidR="00D879CD" w:rsidRPr="00082BED">
        <w:rPr>
          <w:rFonts w:ascii="Times New Roman" w:hAnsi="Times New Roman"/>
          <w:lang w:eastAsia="it-IT"/>
        </w:rPr>
        <w:t>o nel caso di rinuncia del contributo;</w:t>
      </w:r>
    </w:p>
    <w:p w14:paraId="03147EF9" w14:textId="36F6CF04" w:rsidR="00E57BAE" w:rsidRPr="00D879CD" w:rsidRDefault="00D879CD" w:rsidP="009D55C7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lang w:eastAsia="it-IT"/>
        </w:rPr>
      </w:pPr>
      <w:r w:rsidRPr="00082BED">
        <w:rPr>
          <w:rFonts w:ascii="Times New Roman" w:hAnsi="Times New Roman"/>
          <w:lang w:eastAsia="it-IT"/>
        </w:rPr>
        <w:t>restituire alla Regione l’importo eccedente qualora la spesa effettivamente sostenuta risultasse inferio</w:t>
      </w:r>
      <w:r w:rsidR="00BE514C">
        <w:rPr>
          <w:rFonts w:ascii="Times New Roman" w:hAnsi="Times New Roman"/>
          <w:lang w:eastAsia="it-IT"/>
        </w:rPr>
        <w:t>re all’ammontare del contributo erogato.</w:t>
      </w:r>
    </w:p>
    <w:p w14:paraId="12C4E094" w14:textId="77777777" w:rsidR="009D55C7" w:rsidRDefault="009D55C7" w:rsidP="009136D8">
      <w:pPr>
        <w:rPr>
          <w:b/>
        </w:rPr>
      </w:pPr>
    </w:p>
    <w:p w14:paraId="2F1297DF" w14:textId="09D6DC0F" w:rsidR="00144DDC" w:rsidRPr="009136D8" w:rsidRDefault="00885F3D" w:rsidP="009136D8">
      <w:pPr>
        <w:rPr>
          <w:b/>
        </w:rPr>
      </w:pPr>
      <w:r>
        <w:rPr>
          <w:b/>
        </w:rPr>
        <w:t>10</w:t>
      </w:r>
      <w:r w:rsidR="009136D8">
        <w:rPr>
          <w:b/>
        </w:rPr>
        <w:t xml:space="preserve">. </w:t>
      </w:r>
      <w:r w:rsidR="00A87D69" w:rsidRPr="009136D8">
        <w:rPr>
          <w:b/>
        </w:rPr>
        <w:t>M</w:t>
      </w:r>
      <w:r w:rsidR="00144DDC" w:rsidRPr="009136D8">
        <w:rPr>
          <w:b/>
        </w:rPr>
        <w:t>odalità di trasferimento del</w:t>
      </w:r>
      <w:r w:rsidR="005B4AAF" w:rsidRPr="009136D8">
        <w:rPr>
          <w:b/>
        </w:rPr>
        <w:t xml:space="preserve"> contributo</w:t>
      </w:r>
      <w:r w:rsidR="00144DDC" w:rsidRPr="009136D8">
        <w:rPr>
          <w:b/>
        </w:rPr>
        <w:t xml:space="preserve"> al beneficiario e rendicontazione</w:t>
      </w:r>
    </w:p>
    <w:p w14:paraId="37C6B481" w14:textId="2D42BECC" w:rsidR="00555E06" w:rsidRPr="00555E06" w:rsidRDefault="00555E06" w:rsidP="00555E06">
      <w:pPr>
        <w:suppressAutoHyphens w:val="0"/>
        <w:autoSpaceDE w:val="0"/>
        <w:autoSpaceDN w:val="0"/>
        <w:adjustRightInd w:val="0"/>
        <w:rPr>
          <w:rFonts w:cs="Times New Roman"/>
          <w:szCs w:val="22"/>
          <w:lang w:eastAsia="it-IT"/>
        </w:rPr>
      </w:pPr>
      <w:r w:rsidRPr="00555E06">
        <w:rPr>
          <w:rFonts w:cs="Times New Roman"/>
          <w:szCs w:val="22"/>
          <w:lang w:eastAsia="it-IT"/>
        </w:rPr>
        <w:t>Il contributo sarà trasferito</w:t>
      </w:r>
      <w:r w:rsidR="0005213A" w:rsidRPr="0005213A">
        <w:rPr>
          <w:rFonts w:cs="Times New Roman"/>
          <w:szCs w:val="22"/>
          <w:lang w:eastAsia="it-IT"/>
        </w:rPr>
        <w:t xml:space="preserve"> </w:t>
      </w:r>
      <w:r w:rsidR="0005213A">
        <w:rPr>
          <w:rFonts w:cs="Times New Roman"/>
          <w:szCs w:val="22"/>
          <w:lang w:eastAsia="it-IT"/>
        </w:rPr>
        <w:t>in unica soluzione</w:t>
      </w:r>
      <w:r w:rsidR="006A3893">
        <w:rPr>
          <w:rFonts w:cs="Times New Roman"/>
          <w:szCs w:val="22"/>
          <w:lang w:eastAsia="it-IT"/>
        </w:rPr>
        <w:t xml:space="preserve"> ai c</w:t>
      </w:r>
      <w:r w:rsidRPr="00555E06">
        <w:rPr>
          <w:rFonts w:cs="Times New Roman"/>
          <w:szCs w:val="22"/>
          <w:lang w:eastAsia="it-IT"/>
        </w:rPr>
        <w:t>omuni successivamente alla sottoscrizione del Protocollo di Intesa di cui al</w:t>
      </w:r>
      <w:r>
        <w:rPr>
          <w:rFonts w:cs="Times New Roman"/>
          <w:szCs w:val="22"/>
          <w:lang w:eastAsia="it-IT"/>
        </w:rPr>
        <w:t xml:space="preserve"> </w:t>
      </w:r>
      <w:r w:rsidR="00BE514C">
        <w:rPr>
          <w:rFonts w:cs="Times New Roman"/>
          <w:szCs w:val="22"/>
          <w:lang w:eastAsia="it-IT"/>
        </w:rPr>
        <w:t>punto 8</w:t>
      </w:r>
      <w:r w:rsidR="0005213A">
        <w:rPr>
          <w:rFonts w:cs="Times New Roman"/>
          <w:szCs w:val="22"/>
          <w:lang w:eastAsia="it-IT"/>
        </w:rPr>
        <w:t xml:space="preserve">. </w:t>
      </w:r>
    </w:p>
    <w:p w14:paraId="7F6652E4" w14:textId="3F7A0670" w:rsidR="00555E06" w:rsidRDefault="00BE514C" w:rsidP="00555E06">
      <w:pPr>
        <w:suppressAutoHyphens w:val="0"/>
        <w:autoSpaceDE w:val="0"/>
        <w:autoSpaceDN w:val="0"/>
        <w:adjustRightInd w:val="0"/>
        <w:rPr>
          <w:rFonts w:cs="Times New Roman"/>
          <w:szCs w:val="22"/>
          <w:lang w:eastAsia="it-IT"/>
        </w:rPr>
      </w:pPr>
      <w:r w:rsidRPr="00555E06">
        <w:rPr>
          <w:rFonts w:cs="Times New Roman"/>
          <w:szCs w:val="22"/>
          <w:lang w:eastAsia="it-IT"/>
        </w:rPr>
        <w:t xml:space="preserve">La documentazione relativa alla rendicontazione </w:t>
      </w:r>
      <w:r w:rsidR="00555E06" w:rsidRPr="00555E06">
        <w:rPr>
          <w:rFonts w:cs="Times New Roman"/>
          <w:szCs w:val="22"/>
          <w:lang w:eastAsia="it-IT"/>
        </w:rPr>
        <w:t>delle spese sostenute, con le eventuali quietanze di pag</w:t>
      </w:r>
      <w:r w:rsidR="00555E06">
        <w:rPr>
          <w:rFonts w:cs="Times New Roman"/>
          <w:szCs w:val="22"/>
          <w:lang w:eastAsia="it-IT"/>
        </w:rPr>
        <w:t xml:space="preserve">amento, dovrà essere presentata </w:t>
      </w:r>
      <w:r w:rsidR="00555E06" w:rsidRPr="00555E06">
        <w:rPr>
          <w:rFonts w:cs="Times New Roman"/>
          <w:szCs w:val="22"/>
          <w:lang w:eastAsia="it-IT"/>
        </w:rPr>
        <w:t>entro 30 giorni d</w:t>
      </w:r>
      <w:r w:rsidR="00555E06">
        <w:rPr>
          <w:rFonts w:cs="Times New Roman"/>
          <w:szCs w:val="22"/>
          <w:lang w:eastAsia="it-IT"/>
        </w:rPr>
        <w:t xml:space="preserve">alla data di </w:t>
      </w:r>
      <w:r w:rsidR="00991EFA">
        <w:rPr>
          <w:rFonts w:cs="Times New Roman"/>
          <w:szCs w:val="22"/>
          <w:lang w:eastAsia="it-IT"/>
        </w:rPr>
        <w:t xml:space="preserve">approvazione </w:t>
      </w:r>
      <w:r w:rsidR="00555E06">
        <w:rPr>
          <w:rFonts w:cs="Times New Roman"/>
          <w:szCs w:val="22"/>
          <w:lang w:eastAsia="it-IT"/>
        </w:rPr>
        <w:t>del</w:t>
      </w:r>
      <w:r>
        <w:rPr>
          <w:rFonts w:cs="Times New Roman"/>
          <w:szCs w:val="22"/>
          <w:lang w:eastAsia="it-IT"/>
        </w:rPr>
        <w:t xml:space="preserve">lo strumento urbanistico finanziato alla Regione del Veneto - </w:t>
      </w:r>
      <w:r w:rsidRPr="00555E06">
        <w:rPr>
          <w:rFonts w:cs="Times New Roman"/>
          <w:szCs w:val="22"/>
          <w:lang w:eastAsia="it-IT"/>
        </w:rPr>
        <w:t xml:space="preserve">Direzione Pianificazione Territoriale </w:t>
      </w:r>
      <w:r>
        <w:rPr>
          <w:rFonts w:cs="Times New Roman"/>
          <w:szCs w:val="22"/>
          <w:lang w:eastAsia="it-IT"/>
        </w:rPr>
        <w:t xml:space="preserve">all’indirizzo </w:t>
      </w:r>
      <w:r w:rsidRPr="00555E06">
        <w:rPr>
          <w:rFonts w:cs="Times New Roman"/>
          <w:szCs w:val="22"/>
          <w:lang w:eastAsia="it-IT"/>
        </w:rPr>
        <w:t>PEC</w:t>
      </w:r>
      <w:r>
        <w:rPr>
          <w:rFonts w:cs="Times New Roman"/>
          <w:szCs w:val="22"/>
          <w:lang w:eastAsia="it-IT"/>
        </w:rPr>
        <w:t xml:space="preserve"> di cui al punto 4.</w:t>
      </w:r>
    </w:p>
    <w:p w14:paraId="6E16206F" w14:textId="38667D9F" w:rsidR="00144DDC" w:rsidRPr="009136D8" w:rsidRDefault="00885F3D" w:rsidP="009136D8">
      <w:pPr>
        <w:rPr>
          <w:b/>
        </w:rPr>
      </w:pPr>
      <w:r>
        <w:rPr>
          <w:b/>
        </w:rPr>
        <w:t>11</w:t>
      </w:r>
      <w:r w:rsidR="009136D8" w:rsidRPr="009136D8">
        <w:rPr>
          <w:b/>
        </w:rPr>
        <w:t xml:space="preserve">. </w:t>
      </w:r>
      <w:r w:rsidR="00144DDC" w:rsidRPr="009136D8">
        <w:rPr>
          <w:b/>
        </w:rPr>
        <w:t>Informazioni generali</w:t>
      </w:r>
    </w:p>
    <w:p w14:paraId="47A80D27" w14:textId="77777777" w:rsidR="009136D8" w:rsidRDefault="00144DDC">
      <w:r w:rsidRPr="00EB4D4F">
        <w:t>Copia integrale del Bando e dei relativi allegati sono pubblicati nel Bollettino Ufficiale della Regione Veneto</w:t>
      </w:r>
      <w:r w:rsidRPr="00421777">
        <w:t xml:space="preserve"> e sul sito istituzionale www.regione.veneto.it alla pagina Bandi, Avvisi e Concorsi. </w:t>
      </w:r>
    </w:p>
    <w:p w14:paraId="0023C477" w14:textId="4A4B5927" w:rsidR="00144DDC" w:rsidRPr="00421777" w:rsidRDefault="00144DDC">
      <w:r w:rsidRPr="00421777">
        <w:t>Le comunicazioni tra Regione e beneficiario avverranno esclusivamente tramite PEC all’indirizzo:</w:t>
      </w:r>
    </w:p>
    <w:p w14:paraId="7734C5C5" w14:textId="77777777" w:rsidR="00144DDC" w:rsidRPr="009136D8" w:rsidRDefault="00144DDC">
      <w:pPr>
        <w:jc w:val="center"/>
        <w:rPr>
          <w:u w:val="single"/>
        </w:rPr>
      </w:pPr>
      <w:r w:rsidRPr="009136D8">
        <w:rPr>
          <w:b/>
          <w:u w:val="single"/>
        </w:rPr>
        <w:t>pianificazioneterritoriale@pec.regione.veneto.it</w:t>
      </w:r>
    </w:p>
    <w:p w14:paraId="3E940DC7" w14:textId="683A18D1" w:rsidR="00144DDC" w:rsidRPr="00421777" w:rsidRDefault="00144DDC">
      <w:r w:rsidRPr="00421777">
        <w:t xml:space="preserve">Informazioni e chiarimenti potranno essere chiesti alla Regione del Veneto – Direzione Pianificazione Territoriale – U.O. Urbanistica, telefonando ai seguenti numeri: 041 279 </w:t>
      </w:r>
      <w:r w:rsidR="004B3C97" w:rsidRPr="00421777">
        <w:t>2561-2139</w:t>
      </w:r>
      <w:r w:rsidRPr="00421777">
        <w:t>.</w:t>
      </w:r>
    </w:p>
    <w:p w14:paraId="50E17338" w14:textId="77777777" w:rsidR="00144DDC" w:rsidRPr="00421777" w:rsidRDefault="00144DDC">
      <w:r w:rsidRPr="00421777">
        <w:t>Responsabile del procedimento è il Direttore della Direzione Pianificazione Territoriale.</w:t>
      </w:r>
    </w:p>
    <w:p w14:paraId="740E02B5" w14:textId="77777777" w:rsidR="00144DDC" w:rsidRPr="00421777" w:rsidRDefault="00144DDC">
      <w:r w:rsidRPr="00421777">
        <w:t xml:space="preserve">Gli atti connessi al presente Bando sono custoditi e visionabili presso la U.O. Urbanistica, con sede in Venezia, </w:t>
      </w:r>
      <w:proofErr w:type="spellStart"/>
      <w:r w:rsidRPr="00421777">
        <w:t>Cannaregio</w:t>
      </w:r>
      <w:proofErr w:type="spellEnd"/>
      <w:r w:rsidRPr="00421777">
        <w:t xml:space="preserve"> n. 99. L’accesso agli atti avviene secondo le modalità previste dalla legge n. 241/1990.</w:t>
      </w:r>
    </w:p>
    <w:p w14:paraId="1F8C9C1E" w14:textId="77777777" w:rsidR="00885F3D" w:rsidRDefault="00885F3D" w:rsidP="009136D8">
      <w:pPr>
        <w:rPr>
          <w:b/>
        </w:rPr>
      </w:pPr>
    </w:p>
    <w:p w14:paraId="588AD203" w14:textId="263CE1F7" w:rsidR="00144DDC" w:rsidRPr="009136D8" w:rsidRDefault="00885F3D" w:rsidP="009136D8">
      <w:pPr>
        <w:rPr>
          <w:b/>
        </w:rPr>
      </w:pPr>
      <w:r>
        <w:rPr>
          <w:b/>
        </w:rPr>
        <w:t xml:space="preserve">12. </w:t>
      </w:r>
      <w:r w:rsidR="00144DDC" w:rsidRPr="009136D8">
        <w:rPr>
          <w:b/>
        </w:rPr>
        <w:t>Trattamento dei dati personali</w:t>
      </w:r>
    </w:p>
    <w:p w14:paraId="60A7AB75" w14:textId="77777777" w:rsidR="00144DDC" w:rsidRPr="00421777" w:rsidRDefault="00144DDC">
      <w:r w:rsidRPr="00421777">
        <w:t xml:space="preserve">I dati personali relativi al presente procedimento sono trattati nel rispetto del Regolamento 2016/679/UE – GDPR UE. Essi saranno oggetto di trattamento, sia con modalità cartacee sia con modalità elettroniche, nell’ambito del procedimento stesso, limitatamente e per il tempo necessario agli adempimenti relativi allo </w:t>
      </w:r>
      <w:r w:rsidRPr="00421777">
        <w:lastRenderedPageBreak/>
        <w:t>stesso. Tali dati saranno comunicati e diffusi solamente secondo disposizioni di legge. Titolare del trattamento dei dati è la Giunta regionale del Veneto; delegati del trattamento sono il Direttore responsabile della Direzione Pianificazione territoriale e i Direttori assegnati.</w:t>
      </w:r>
    </w:p>
    <w:p w14:paraId="1B6996B3" w14:textId="77777777" w:rsidR="00144DDC" w:rsidRPr="00421777" w:rsidRDefault="00144DDC">
      <w:r w:rsidRPr="00421777">
        <w:t xml:space="preserve">Si provvederà, qualora ricorrano i presupposti, alla nomina del “Responsabile esterno” mediante contratto secondo quanto indicato nell’art. 28 del GDPR. </w:t>
      </w:r>
    </w:p>
    <w:p w14:paraId="3CC719C9" w14:textId="77777777" w:rsidR="00144DDC" w:rsidRPr="00421777" w:rsidRDefault="00144DDC">
      <w:r w:rsidRPr="00421777">
        <w:t>L’interessato può esercitare i diritti di accesso ai dati personali (art. 15 del Regolamento 2016/679/UE – GDPR); può chiedere la rettifica dei dati (art. 16) e la cancellazione degli stessi (art. 17).</w:t>
      </w:r>
    </w:p>
    <w:p w14:paraId="39176E94" w14:textId="77777777" w:rsidR="00421777" w:rsidRDefault="00144DDC" w:rsidP="000B0881">
      <w:pPr>
        <w:rPr>
          <w:rStyle w:val="Collegamentoipertestuale"/>
          <w:color w:val="auto"/>
        </w:rPr>
      </w:pPr>
      <w:r w:rsidRPr="00421777">
        <w:t xml:space="preserve">Il Data </w:t>
      </w:r>
      <w:proofErr w:type="spellStart"/>
      <w:r w:rsidRPr="00421777">
        <w:t>Protection</w:t>
      </w:r>
      <w:proofErr w:type="spellEnd"/>
      <w:r w:rsidRPr="00421777">
        <w:t xml:space="preserve"> </w:t>
      </w:r>
      <w:proofErr w:type="spellStart"/>
      <w:r w:rsidRPr="00421777">
        <w:t>Officer</w:t>
      </w:r>
      <w:proofErr w:type="spellEnd"/>
      <w:r w:rsidRPr="00421777">
        <w:t xml:space="preserve"> ha sede presso Palazzo </w:t>
      </w:r>
      <w:proofErr w:type="spellStart"/>
      <w:r w:rsidRPr="00421777">
        <w:t>Sceriman</w:t>
      </w:r>
      <w:proofErr w:type="spellEnd"/>
      <w:r w:rsidRPr="00421777">
        <w:t xml:space="preserve">, </w:t>
      </w:r>
      <w:proofErr w:type="spellStart"/>
      <w:r w:rsidRPr="00421777">
        <w:t>Cannaregio</w:t>
      </w:r>
      <w:proofErr w:type="spellEnd"/>
      <w:r w:rsidRPr="00421777">
        <w:t xml:space="preserve">, 168 – 30121 Venezia, email: </w:t>
      </w:r>
      <w:hyperlink r:id="rId12" w:history="1">
        <w:r w:rsidR="00326031" w:rsidRPr="00421777">
          <w:rPr>
            <w:rStyle w:val="Collegamentoipertestuale"/>
            <w:color w:val="auto"/>
          </w:rPr>
          <w:t>dpo@regione.veneto.it</w:t>
        </w:r>
      </w:hyperlink>
      <w:r w:rsidR="000B0881" w:rsidRPr="00421777">
        <w:rPr>
          <w:rStyle w:val="Collegamentoipertestuale"/>
          <w:color w:val="auto"/>
        </w:rPr>
        <w:t xml:space="preserve"> </w:t>
      </w:r>
    </w:p>
    <w:p w14:paraId="5B0FFA27" w14:textId="77777777" w:rsidR="00421777" w:rsidRDefault="00421777" w:rsidP="000B0881">
      <w:pPr>
        <w:rPr>
          <w:rStyle w:val="Collegamentoipertestuale"/>
          <w:color w:val="auto"/>
        </w:rPr>
      </w:pPr>
    </w:p>
    <w:p w14:paraId="33C78AF0" w14:textId="3841AB09" w:rsidR="00421777" w:rsidRPr="009136D8" w:rsidRDefault="00421777" w:rsidP="009136D8">
      <w:pPr>
        <w:rPr>
          <w:b/>
        </w:rPr>
      </w:pPr>
      <w:r w:rsidRPr="009136D8">
        <w:rPr>
          <w:b/>
        </w:rPr>
        <w:t>Allegati</w:t>
      </w:r>
      <w:r w:rsidR="009136D8">
        <w:rPr>
          <w:b/>
        </w:rPr>
        <w:t xml:space="preserve"> al Bando</w:t>
      </w:r>
    </w:p>
    <w:p w14:paraId="0929F6ED" w14:textId="5FC83150" w:rsidR="00421777" w:rsidRPr="0052161C" w:rsidRDefault="00421777" w:rsidP="00421777">
      <w:pPr>
        <w:suppressAutoHyphens w:val="0"/>
        <w:autoSpaceDE w:val="0"/>
        <w:autoSpaceDN w:val="0"/>
        <w:adjustRightInd w:val="0"/>
        <w:jc w:val="left"/>
        <w:rPr>
          <w:rFonts w:cs="Times New Roman"/>
          <w:szCs w:val="22"/>
          <w:lang w:eastAsia="it-IT"/>
        </w:rPr>
      </w:pPr>
      <w:r w:rsidRPr="0052161C">
        <w:rPr>
          <w:rFonts w:cs="Times New Roman"/>
          <w:szCs w:val="22"/>
          <w:lang w:eastAsia="it-IT"/>
        </w:rPr>
        <w:t>Costituiscono allegati al presente bando e parte integrante dello stesso:</w:t>
      </w:r>
    </w:p>
    <w:p w14:paraId="29F29E7E" w14:textId="61379B09" w:rsidR="00421777" w:rsidRPr="0052161C" w:rsidRDefault="006A68D8" w:rsidP="00421777">
      <w:pPr>
        <w:suppressAutoHyphens w:val="0"/>
        <w:autoSpaceDE w:val="0"/>
        <w:autoSpaceDN w:val="0"/>
        <w:adjustRightInd w:val="0"/>
        <w:jc w:val="left"/>
        <w:rPr>
          <w:rFonts w:cs="Times New Roman"/>
          <w:szCs w:val="22"/>
          <w:lang w:eastAsia="it-IT"/>
        </w:rPr>
      </w:pPr>
      <w:r w:rsidRPr="0052161C">
        <w:rPr>
          <w:rFonts w:cs="Times New Roman"/>
          <w:szCs w:val="22"/>
          <w:lang w:eastAsia="it-IT"/>
        </w:rPr>
        <w:t>ALLEGATO A1</w:t>
      </w:r>
      <w:r w:rsidR="00421777" w:rsidRPr="0052161C">
        <w:rPr>
          <w:rFonts w:cs="Times New Roman"/>
          <w:szCs w:val="22"/>
          <w:lang w:eastAsia="it-IT"/>
        </w:rPr>
        <w:t>: Modulo di domanda</w:t>
      </w:r>
    </w:p>
    <w:p w14:paraId="4961D284" w14:textId="0708708D" w:rsidR="00421777" w:rsidRPr="0052161C" w:rsidRDefault="006A68D8" w:rsidP="00421777">
      <w:pPr>
        <w:rPr>
          <w:rFonts w:cs="Times New Roman"/>
          <w:szCs w:val="22"/>
          <w:lang w:eastAsia="it-IT"/>
        </w:rPr>
      </w:pPr>
      <w:r w:rsidRPr="0052161C">
        <w:rPr>
          <w:rFonts w:cs="Times New Roman"/>
          <w:szCs w:val="22"/>
          <w:lang w:eastAsia="it-IT"/>
        </w:rPr>
        <w:t>ALLEGATO A2</w:t>
      </w:r>
      <w:r w:rsidR="00421777" w:rsidRPr="0052161C">
        <w:rPr>
          <w:rFonts w:cs="Times New Roman"/>
          <w:szCs w:val="22"/>
          <w:lang w:eastAsia="it-IT"/>
        </w:rPr>
        <w:t xml:space="preserve">: </w:t>
      </w:r>
      <w:r w:rsidRPr="0052161C">
        <w:rPr>
          <w:rFonts w:cs="Times New Roman"/>
          <w:szCs w:val="22"/>
          <w:lang w:eastAsia="it-IT"/>
        </w:rPr>
        <w:t>Schema di Protocollo di Intesa</w:t>
      </w:r>
    </w:p>
    <w:p w14:paraId="48D5FC0D" w14:textId="5E0D19D6" w:rsidR="00421777" w:rsidRPr="0052161C" w:rsidRDefault="00421777" w:rsidP="000B06F0">
      <w:pPr>
        <w:suppressAutoHyphens w:val="0"/>
        <w:autoSpaceDE w:val="0"/>
        <w:autoSpaceDN w:val="0"/>
        <w:adjustRightInd w:val="0"/>
        <w:rPr>
          <w:rFonts w:cs="Times New Roman"/>
          <w:szCs w:val="22"/>
          <w:lang w:eastAsia="it-IT"/>
        </w:rPr>
      </w:pPr>
    </w:p>
    <w:sectPr w:rsidR="00421777" w:rsidRPr="0052161C">
      <w:footerReference w:type="even" r:id="rId13"/>
      <w:footerReference w:type="default" r:id="rId14"/>
      <w:footerReference w:type="first" r:id="rId15"/>
      <w:pgSz w:w="11906" w:h="16838"/>
      <w:pgMar w:top="1134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106D4" w14:textId="77777777" w:rsidR="00CD4B26" w:rsidRDefault="00CD4B26">
      <w:pPr>
        <w:spacing w:after="0"/>
      </w:pPr>
      <w:r>
        <w:separator/>
      </w:r>
    </w:p>
  </w:endnote>
  <w:endnote w:type="continuationSeparator" w:id="0">
    <w:p w14:paraId="26FBAB76" w14:textId="77777777" w:rsidR="00CD4B26" w:rsidRDefault="00CD4B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29C8F" w14:textId="77777777" w:rsidR="001F7C08" w:rsidRDefault="001F7C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E2C45" w14:textId="77777777" w:rsidR="001F7C08" w:rsidRPr="003C6410" w:rsidRDefault="001F7C08" w:rsidP="003C64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1060F" w14:textId="77777777" w:rsidR="001F7C08" w:rsidRDefault="001F7C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52AEB" w14:textId="77777777" w:rsidR="00CD4B26" w:rsidRDefault="00CD4B26">
      <w:pPr>
        <w:spacing w:after="0"/>
      </w:pPr>
      <w:r>
        <w:separator/>
      </w:r>
    </w:p>
  </w:footnote>
  <w:footnote w:type="continuationSeparator" w:id="0">
    <w:p w14:paraId="26423EF6" w14:textId="77777777" w:rsidR="00CD4B26" w:rsidRDefault="00CD4B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6C09FB4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  <w:rPr>
        <w:strike w:val="0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1844"/>
        </w:tabs>
        <w:ind w:left="2420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Times New Roman"/>
        <w:szCs w:val="22"/>
        <w:lang w:eastAsia="en-US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1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00000008"/>
    <w:multiLevelType w:val="singleLevel"/>
    <w:tmpl w:val="00000008"/>
    <w:name w:val="WW8Num27"/>
    <w:lvl w:ilvl="0">
      <w:start w:val="1"/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ascii="Verdana" w:hAnsi="Verdana" w:cs="Verdana" w:hint="default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32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Cs w:val="22"/>
      </w:rPr>
    </w:lvl>
  </w:abstractNum>
  <w:abstractNum w:abstractNumId="9" w15:restartNumberingAfterBreak="0">
    <w:nsid w:val="07A74413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8EC7F89"/>
    <w:multiLevelType w:val="hybridMultilevel"/>
    <w:tmpl w:val="6316C9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615A8"/>
    <w:multiLevelType w:val="hybridMultilevel"/>
    <w:tmpl w:val="E356E760"/>
    <w:lvl w:ilvl="0" w:tplc="0F3A7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E1F97"/>
    <w:multiLevelType w:val="hybridMultilevel"/>
    <w:tmpl w:val="4382592C"/>
    <w:lvl w:ilvl="0" w:tplc="590C820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9B12C6"/>
    <w:multiLevelType w:val="hybridMultilevel"/>
    <w:tmpl w:val="0ADCEFF2"/>
    <w:lvl w:ilvl="0" w:tplc="0410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1C6674"/>
    <w:multiLevelType w:val="hybridMultilevel"/>
    <w:tmpl w:val="866AF1B6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80E189F"/>
    <w:multiLevelType w:val="hybridMultilevel"/>
    <w:tmpl w:val="5A70E416"/>
    <w:lvl w:ilvl="0" w:tplc="FF0AE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18471FC4"/>
    <w:multiLevelType w:val="hybridMultilevel"/>
    <w:tmpl w:val="CEB8171E"/>
    <w:lvl w:ilvl="0" w:tplc="C8A057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5819F4"/>
    <w:multiLevelType w:val="hybridMultilevel"/>
    <w:tmpl w:val="024685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D4687D"/>
    <w:multiLevelType w:val="hybridMultilevel"/>
    <w:tmpl w:val="9A1EE6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5828AE"/>
    <w:multiLevelType w:val="hybridMultilevel"/>
    <w:tmpl w:val="56AA4558"/>
    <w:lvl w:ilvl="0" w:tplc="D0F6FC1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2700F"/>
    <w:multiLevelType w:val="hybridMultilevel"/>
    <w:tmpl w:val="1604F464"/>
    <w:lvl w:ilvl="0" w:tplc="2B9671C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5D04C2C"/>
    <w:multiLevelType w:val="hybridMultilevel"/>
    <w:tmpl w:val="F86260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1D202E"/>
    <w:multiLevelType w:val="hybridMultilevel"/>
    <w:tmpl w:val="4B2683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D1B09"/>
    <w:multiLevelType w:val="hybridMultilevel"/>
    <w:tmpl w:val="978409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59672B"/>
    <w:multiLevelType w:val="hybridMultilevel"/>
    <w:tmpl w:val="6B447C1E"/>
    <w:lvl w:ilvl="0" w:tplc="C8A057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E0F78"/>
    <w:multiLevelType w:val="hybridMultilevel"/>
    <w:tmpl w:val="6862197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442CED"/>
    <w:multiLevelType w:val="hybridMultilevel"/>
    <w:tmpl w:val="626C4C5A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E3D9F"/>
    <w:multiLevelType w:val="hybridMultilevel"/>
    <w:tmpl w:val="6316C9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686CB3"/>
    <w:multiLevelType w:val="hybridMultilevel"/>
    <w:tmpl w:val="64823F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C53F25"/>
    <w:multiLevelType w:val="hybridMultilevel"/>
    <w:tmpl w:val="749CFD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05D47"/>
    <w:multiLevelType w:val="hybridMultilevel"/>
    <w:tmpl w:val="6B8EAE56"/>
    <w:lvl w:ilvl="0" w:tplc="BA8AB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D30CDC"/>
    <w:multiLevelType w:val="hybridMultilevel"/>
    <w:tmpl w:val="FEDE4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F32A5"/>
    <w:multiLevelType w:val="hybridMultilevel"/>
    <w:tmpl w:val="53A2E23E"/>
    <w:lvl w:ilvl="0" w:tplc="A5D0B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B28DA"/>
    <w:multiLevelType w:val="hybridMultilevel"/>
    <w:tmpl w:val="E954BE7C"/>
    <w:lvl w:ilvl="0" w:tplc="F9F6F98A">
      <w:start w:val="1"/>
      <w:numFmt w:val="bullet"/>
      <w:lvlText w:val="*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435EF"/>
    <w:multiLevelType w:val="hybridMultilevel"/>
    <w:tmpl w:val="DA603332"/>
    <w:lvl w:ilvl="0" w:tplc="0E8668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E45EE"/>
    <w:multiLevelType w:val="hybridMultilevel"/>
    <w:tmpl w:val="0068EF80"/>
    <w:lvl w:ilvl="0" w:tplc="57F47FD8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475BC"/>
    <w:multiLevelType w:val="hybridMultilevel"/>
    <w:tmpl w:val="D7765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A3B7D"/>
    <w:multiLevelType w:val="hybridMultilevel"/>
    <w:tmpl w:val="EBB06716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900B1"/>
    <w:multiLevelType w:val="hybridMultilevel"/>
    <w:tmpl w:val="8EFCF0C2"/>
    <w:lvl w:ilvl="0" w:tplc="0F3A7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B6DEA"/>
    <w:multiLevelType w:val="hybridMultilevel"/>
    <w:tmpl w:val="D31A49E0"/>
    <w:lvl w:ilvl="0" w:tplc="22F8F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04705"/>
    <w:multiLevelType w:val="hybridMultilevel"/>
    <w:tmpl w:val="834C77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5"/>
  </w:num>
  <w:num w:numId="11">
    <w:abstractNumId w:val="22"/>
  </w:num>
  <w:num w:numId="12">
    <w:abstractNumId w:val="17"/>
  </w:num>
  <w:num w:numId="13">
    <w:abstractNumId w:val="29"/>
  </w:num>
  <w:num w:numId="14">
    <w:abstractNumId w:val="23"/>
  </w:num>
  <w:num w:numId="15">
    <w:abstractNumId w:val="26"/>
  </w:num>
  <w:num w:numId="16">
    <w:abstractNumId w:val="37"/>
  </w:num>
  <w:num w:numId="17">
    <w:abstractNumId w:val="18"/>
  </w:num>
  <w:num w:numId="18">
    <w:abstractNumId w:val="9"/>
  </w:num>
  <w:num w:numId="19">
    <w:abstractNumId w:val="10"/>
  </w:num>
  <w:num w:numId="20">
    <w:abstractNumId w:val="21"/>
  </w:num>
  <w:num w:numId="21">
    <w:abstractNumId w:val="14"/>
  </w:num>
  <w:num w:numId="22">
    <w:abstractNumId w:val="40"/>
  </w:num>
  <w:num w:numId="23">
    <w:abstractNumId w:val="31"/>
  </w:num>
  <w:num w:numId="24">
    <w:abstractNumId w:val="27"/>
  </w:num>
  <w:num w:numId="25">
    <w:abstractNumId w:val="39"/>
  </w:num>
  <w:num w:numId="26">
    <w:abstractNumId w:val="11"/>
  </w:num>
  <w:num w:numId="27">
    <w:abstractNumId w:val="13"/>
  </w:num>
  <w:num w:numId="28">
    <w:abstractNumId w:val="12"/>
  </w:num>
  <w:num w:numId="29">
    <w:abstractNumId w:val="36"/>
  </w:num>
  <w:num w:numId="30">
    <w:abstractNumId w:val="38"/>
  </w:num>
  <w:num w:numId="31">
    <w:abstractNumId w:val="28"/>
  </w:num>
  <w:num w:numId="32">
    <w:abstractNumId w:val="24"/>
  </w:num>
  <w:num w:numId="33">
    <w:abstractNumId w:val="32"/>
  </w:num>
  <w:num w:numId="34">
    <w:abstractNumId w:val="35"/>
  </w:num>
  <w:num w:numId="35">
    <w:abstractNumId w:val="33"/>
  </w:num>
  <w:num w:numId="36">
    <w:abstractNumId w:val="34"/>
  </w:num>
  <w:num w:numId="37">
    <w:abstractNumId w:val="0"/>
  </w:num>
  <w:num w:numId="38">
    <w:abstractNumId w:val="0"/>
  </w:num>
  <w:num w:numId="39">
    <w:abstractNumId w:val="20"/>
  </w:num>
  <w:num w:numId="40">
    <w:abstractNumId w:val="19"/>
  </w:num>
  <w:num w:numId="41">
    <w:abstractNumId w:val="0"/>
    <w:lvlOverride w:ilvl="0">
      <w:startOverride w:val="13"/>
    </w:lvlOverride>
  </w:num>
  <w:num w:numId="42">
    <w:abstractNumId w:val="16"/>
  </w:num>
  <w:num w:numId="43">
    <w:abstractNumId w:val="30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34"/>
    <w:rsid w:val="00000C14"/>
    <w:rsid w:val="00003D74"/>
    <w:rsid w:val="00006C60"/>
    <w:rsid w:val="00020F59"/>
    <w:rsid w:val="000328D3"/>
    <w:rsid w:val="00032BC5"/>
    <w:rsid w:val="000336BA"/>
    <w:rsid w:val="0003530A"/>
    <w:rsid w:val="00035369"/>
    <w:rsid w:val="000356F0"/>
    <w:rsid w:val="0004060B"/>
    <w:rsid w:val="00046AD6"/>
    <w:rsid w:val="0005213A"/>
    <w:rsid w:val="00052B44"/>
    <w:rsid w:val="000571C1"/>
    <w:rsid w:val="00060BBC"/>
    <w:rsid w:val="000648F6"/>
    <w:rsid w:val="00065640"/>
    <w:rsid w:val="00077C19"/>
    <w:rsid w:val="00077D20"/>
    <w:rsid w:val="00082CAC"/>
    <w:rsid w:val="00087389"/>
    <w:rsid w:val="00091F24"/>
    <w:rsid w:val="000961B9"/>
    <w:rsid w:val="00097895"/>
    <w:rsid w:val="000A3D2A"/>
    <w:rsid w:val="000A3D62"/>
    <w:rsid w:val="000A6538"/>
    <w:rsid w:val="000B06F0"/>
    <w:rsid w:val="000B0881"/>
    <w:rsid w:val="000B1D85"/>
    <w:rsid w:val="000C16FC"/>
    <w:rsid w:val="000C2A0A"/>
    <w:rsid w:val="000C5757"/>
    <w:rsid w:val="000D4258"/>
    <w:rsid w:val="000E26C2"/>
    <w:rsid w:val="000E7CFC"/>
    <w:rsid w:val="001060BA"/>
    <w:rsid w:val="00120591"/>
    <w:rsid w:val="00122E30"/>
    <w:rsid w:val="001247C2"/>
    <w:rsid w:val="00131C65"/>
    <w:rsid w:val="0014011B"/>
    <w:rsid w:val="00144DDC"/>
    <w:rsid w:val="00146420"/>
    <w:rsid w:val="0015037C"/>
    <w:rsid w:val="00151E85"/>
    <w:rsid w:val="00152C6A"/>
    <w:rsid w:val="00160A2C"/>
    <w:rsid w:val="00160EEE"/>
    <w:rsid w:val="001629E6"/>
    <w:rsid w:val="001644FB"/>
    <w:rsid w:val="00166262"/>
    <w:rsid w:val="00166B04"/>
    <w:rsid w:val="001721B9"/>
    <w:rsid w:val="00174096"/>
    <w:rsid w:val="00176341"/>
    <w:rsid w:val="00176DCF"/>
    <w:rsid w:val="0017711B"/>
    <w:rsid w:val="00186F95"/>
    <w:rsid w:val="00190E42"/>
    <w:rsid w:val="00195D5B"/>
    <w:rsid w:val="001C31A2"/>
    <w:rsid w:val="001D2A18"/>
    <w:rsid w:val="001E0B76"/>
    <w:rsid w:val="001E59DF"/>
    <w:rsid w:val="001E67D3"/>
    <w:rsid w:val="001F4D86"/>
    <w:rsid w:val="001F5000"/>
    <w:rsid w:val="001F6593"/>
    <w:rsid w:val="001F7C08"/>
    <w:rsid w:val="001F7CFF"/>
    <w:rsid w:val="002021B5"/>
    <w:rsid w:val="00206E0D"/>
    <w:rsid w:val="00212976"/>
    <w:rsid w:val="0022440D"/>
    <w:rsid w:val="002260B6"/>
    <w:rsid w:val="00232068"/>
    <w:rsid w:val="002346E5"/>
    <w:rsid w:val="00241893"/>
    <w:rsid w:val="002504D0"/>
    <w:rsid w:val="0025434B"/>
    <w:rsid w:val="002718E2"/>
    <w:rsid w:val="00273495"/>
    <w:rsid w:val="002764AC"/>
    <w:rsid w:val="0029064B"/>
    <w:rsid w:val="00296735"/>
    <w:rsid w:val="00297A7D"/>
    <w:rsid w:val="002A6636"/>
    <w:rsid w:val="002B067D"/>
    <w:rsid w:val="002B2EF9"/>
    <w:rsid w:val="002B4CE7"/>
    <w:rsid w:val="002B7BDE"/>
    <w:rsid w:val="002C6C84"/>
    <w:rsid w:val="002D6A1A"/>
    <w:rsid w:val="002E0237"/>
    <w:rsid w:val="002E536E"/>
    <w:rsid w:val="002E6804"/>
    <w:rsid w:val="0030135A"/>
    <w:rsid w:val="00302601"/>
    <w:rsid w:val="003244B2"/>
    <w:rsid w:val="003252A8"/>
    <w:rsid w:val="00326031"/>
    <w:rsid w:val="00334EFE"/>
    <w:rsid w:val="00335B7E"/>
    <w:rsid w:val="00337996"/>
    <w:rsid w:val="003429A3"/>
    <w:rsid w:val="003452E7"/>
    <w:rsid w:val="00350578"/>
    <w:rsid w:val="0035792C"/>
    <w:rsid w:val="00361102"/>
    <w:rsid w:val="0036279F"/>
    <w:rsid w:val="00370DB0"/>
    <w:rsid w:val="0038172A"/>
    <w:rsid w:val="00386A06"/>
    <w:rsid w:val="003A1B21"/>
    <w:rsid w:val="003B1C23"/>
    <w:rsid w:val="003B1FAC"/>
    <w:rsid w:val="003B5C15"/>
    <w:rsid w:val="003C301E"/>
    <w:rsid w:val="003C4C30"/>
    <w:rsid w:val="003C6410"/>
    <w:rsid w:val="003C78D8"/>
    <w:rsid w:val="003D2750"/>
    <w:rsid w:val="003D3A84"/>
    <w:rsid w:val="003D4343"/>
    <w:rsid w:val="003E0744"/>
    <w:rsid w:val="003E3D7F"/>
    <w:rsid w:val="003E70EE"/>
    <w:rsid w:val="003F4A2A"/>
    <w:rsid w:val="003F50EF"/>
    <w:rsid w:val="00400258"/>
    <w:rsid w:val="0042042F"/>
    <w:rsid w:val="00421777"/>
    <w:rsid w:val="004251F3"/>
    <w:rsid w:val="0043002F"/>
    <w:rsid w:val="00431B49"/>
    <w:rsid w:val="00432498"/>
    <w:rsid w:val="00435BFF"/>
    <w:rsid w:val="00441332"/>
    <w:rsid w:val="00441727"/>
    <w:rsid w:val="0044241A"/>
    <w:rsid w:val="00444C4E"/>
    <w:rsid w:val="00447B8B"/>
    <w:rsid w:val="00473EB4"/>
    <w:rsid w:val="0047524B"/>
    <w:rsid w:val="004758F8"/>
    <w:rsid w:val="00491865"/>
    <w:rsid w:val="00495B45"/>
    <w:rsid w:val="004A5EEF"/>
    <w:rsid w:val="004A66EF"/>
    <w:rsid w:val="004B142D"/>
    <w:rsid w:val="004B3524"/>
    <w:rsid w:val="004B3C97"/>
    <w:rsid w:val="004C14E0"/>
    <w:rsid w:val="004C184A"/>
    <w:rsid w:val="004C6E3E"/>
    <w:rsid w:val="004E39C3"/>
    <w:rsid w:val="004F13D9"/>
    <w:rsid w:val="004F7E69"/>
    <w:rsid w:val="0050147A"/>
    <w:rsid w:val="00505CC6"/>
    <w:rsid w:val="0051160A"/>
    <w:rsid w:val="0051163A"/>
    <w:rsid w:val="00515077"/>
    <w:rsid w:val="0052161C"/>
    <w:rsid w:val="005301FF"/>
    <w:rsid w:val="00530D72"/>
    <w:rsid w:val="00536A1F"/>
    <w:rsid w:val="00536D53"/>
    <w:rsid w:val="00555E06"/>
    <w:rsid w:val="00571634"/>
    <w:rsid w:val="00576A46"/>
    <w:rsid w:val="00583785"/>
    <w:rsid w:val="00594C7B"/>
    <w:rsid w:val="00596FB5"/>
    <w:rsid w:val="005A0559"/>
    <w:rsid w:val="005A1D0A"/>
    <w:rsid w:val="005B38A4"/>
    <w:rsid w:val="005B4AAF"/>
    <w:rsid w:val="005B4E93"/>
    <w:rsid w:val="005C0C9E"/>
    <w:rsid w:val="005C116A"/>
    <w:rsid w:val="005C40E2"/>
    <w:rsid w:val="005C40E4"/>
    <w:rsid w:val="005D5BB7"/>
    <w:rsid w:val="005E3B14"/>
    <w:rsid w:val="005F7D1E"/>
    <w:rsid w:val="00602820"/>
    <w:rsid w:val="00605904"/>
    <w:rsid w:val="00610170"/>
    <w:rsid w:val="00615B3A"/>
    <w:rsid w:val="00620ED6"/>
    <w:rsid w:val="00632C64"/>
    <w:rsid w:val="00635655"/>
    <w:rsid w:val="006409FB"/>
    <w:rsid w:val="00640A1E"/>
    <w:rsid w:val="00640C6E"/>
    <w:rsid w:val="00641214"/>
    <w:rsid w:val="00647C5E"/>
    <w:rsid w:val="00672EE6"/>
    <w:rsid w:val="0067576C"/>
    <w:rsid w:val="00681511"/>
    <w:rsid w:val="0068292A"/>
    <w:rsid w:val="00684451"/>
    <w:rsid w:val="006847F9"/>
    <w:rsid w:val="006920EC"/>
    <w:rsid w:val="00695757"/>
    <w:rsid w:val="00696891"/>
    <w:rsid w:val="006A1F19"/>
    <w:rsid w:val="006A3893"/>
    <w:rsid w:val="006A3FC2"/>
    <w:rsid w:val="006A68D8"/>
    <w:rsid w:val="006A7AA7"/>
    <w:rsid w:val="006B13F9"/>
    <w:rsid w:val="006B1B05"/>
    <w:rsid w:val="006B2306"/>
    <w:rsid w:val="006B54D1"/>
    <w:rsid w:val="006C19F4"/>
    <w:rsid w:val="006C45DB"/>
    <w:rsid w:val="006D04DE"/>
    <w:rsid w:val="006D10CF"/>
    <w:rsid w:val="006D173C"/>
    <w:rsid w:val="006D6A36"/>
    <w:rsid w:val="006F5D89"/>
    <w:rsid w:val="006F6F59"/>
    <w:rsid w:val="00702A41"/>
    <w:rsid w:val="00703317"/>
    <w:rsid w:val="00704BCB"/>
    <w:rsid w:val="007146B2"/>
    <w:rsid w:val="00720F58"/>
    <w:rsid w:val="0072554C"/>
    <w:rsid w:val="007406BE"/>
    <w:rsid w:val="0074319A"/>
    <w:rsid w:val="00743901"/>
    <w:rsid w:val="00745061"/>
    <w:rsid w:val="00752518"/>
    <w:rsid w:val="00752923"/>
    <w:rsid w:val="00756B94"/>
    <w:rsid w:val="0076033F"/>
    <w:rsid w:val="00775139"/>
    <w:rsid w:val="00780111"/>
    <w:rsid w:val="00790FC9"/>
    <w:rsid w:val="00791DC9"/>
    <w:rsid w:val="00793F99"/>
    <w:rsid w:val="007A3C8A"/>
    <w:rsid w:val="007B7AAA"/>
    <w:rsid w:val="007C1534"/>
    <w:rsid w:val="007C426D"/>
    <w:rsid w:val="007D42FE"/>
    <w:rsid w:val="007D623E"/>
    <w:rsid w:val="007E1749"/>
    <w:rsid w:val="007F12EC"/>
    <w:rsid w:val="00804F87"/>
    <w:rsid w:val="00807F25"/>
    <w:rsid w:val="008147C9"/>
    <w:rsid w:val="00822620"/>
    <w:rsid w:val="00834843"/>
    <w:rsid w:val="00844141"/>
    <w:rsid w:val="00850FEE"/>
    <w:rsid w:val="0085749A"/>
    <w:rsid w:val="0085760D"/>
    <w:rsid w:val="0085783B"/>
    <w:rsid w:val="00862B80"/>
    <w:rsid w:val="00873870"/>
    <w:rsid w:val="00882D65"/>
    <w:rsid w:val="00883C0A"/>
    <w:rsid w:val="00885CD2"/>
    <w:rsid w:val="00885F3D"/>
    <w:rsid w:val="00892C25"/>
    <w:rsid w:val="008939E8"/>
    <w:rsid w:val="00895CAB"/>
    <w:rsid w:val="008966D3"/>
    <w:rsid w:val="00896DF5"/>
    <w:rsid w:val="008C121A"/>
    <w:rsid w:val="008C2F26"/>
    <w:rsid w:val="008D193B"/>
    <w:rsid w:val="008D32C0"/>
    <w:rsid w:val="008D5380"/>
    <w:rsid w:val="008D6C56"/>
    <w:rsid w:val="008E251E"/>
    <w:rsid w:val="008F5C97"/>
    <w:rsid w:val="008F6F34"/>
    <w:rsid w:val="00913177"/>
    <w:rsid w:val="009136D8"/>
    <w:rsid w:val="0092275A"/>
    <w:rsid w:val="009331B7"/>
    <w:rsid w:val="00950ED0"/>
    <w:rsid w:val="0095110B"/>
    <w:rsid w:val="009514F2"/>
    <w:rsid w:val="0095490A"/>
    <w:rsid w:val="0096135A"/>
    <w:rsid w:val="009726CD"/>
    <w:rsid w:val="00982AD9"/>
    <w:rsid w:val="0099099C"/>
    <w:rsid w:val="00991EFA"/>
    <w:rsid w:val="00995080"/>
    <w:rsid w:val="00995CBA"/>
    <w:rsid w:val="009A05FE"/>
    <w:rsid w:val="009B5D4E"/>
    <w:rsid w:val="009C1C3E"/>
    <w:rsid w:val="009C20A8"/>
    <w:rsid w:val="009C3BB8"/>
    <w:rsid w:val="009C6228"/>
    <w:rsid w:val="009D0540"/>
    <w:rsid w:val="009D55C7"/>
    <w:rsid w:val="009E2A1F"/>
    <w:rsid w:val="009F2B63"/>
    <w:rsid w:val="009F3CF0"/>
    <w:rsid w:val="009F5BA7"/>
    <w:rsid w:val="009F6DAF"/>
    <w:rsid w:val="00A05A1B"/>
    <w:rsid w:val="00A10550"/>
    <w:rsid w:val="00A1579A"/>
    <w:rsid w:val="00A175E3"/>
    <w:rsid w:val="00A212EA"/>
    <w:rsid w:val="00A276F9"/>
    <w:rsid w:val="00A30063"/>
    <w:rsid w:val="00A33352"/>
    <w:rsid w:val="00A4238E"/>
    <w:rsid w:val="00A4246B"/>
    <w:rsid w:val="00A4316E"/>
    <w:rsid w:val="00A440B0"/>
    <w:rsid w:val="00A53219"/>
    <w:rsid w:val="00A5776F"/>
    <w:rsid w:val="00A62569"/>
    <w:rsid w:val="00A62CEA"/>
    <w:rsid w:val="00A7247A"/>
    <w:rsid w:val="00A8341E"/>
    <w:rsid w:val="00A83B84"/>
    <w:rsid w:val="00A87D69"/>
    <w:rsid w:val="00AA0899"/>
    <w:rsid w:val="00AA14EB"/>
    <w:rsid w:val="00AA32D3"/>
    <w:rsid w:val="00AA47C7"/>
    <w:rsid w:val="00AB1F4A"/>
    <w:rsid w:val="00AC1516"/>
    <w:rsid w:val="00AC2C2B"/>
    <w:rsid w:val="00AC5196"/>
    <w:rsid w:val="00AC73F0"/>
    <w:rsid w:val="00AE266C"/>
    <w:rsid w:val="00AF1DDD"/>
    <w:rsid w:val="00AF26F9"/>
    <w:rsid w:val="00AF7691"/>
    <w:rsid w:val="00B02422"/>
    <w:rsid w:val="00B02C8B"/>
    <w:rsid w:val="00B0407E"/>
    <w:rsid w:val="00B07D03"/>
    <w:rsid w:val="00B11FAC"/>
    <w:rsid w:val="00B12A2A"/>
    <w:rsid w:val="00B162FA"/>
    <w:rsid w:val="00B21807"/>
    <w:rsid w:val="00B22CDE"/>
    <w:rsid w:val="00B24EB5"/>
    <w:rsid w:val="00B3039D"/>
    <w:rsid w:val="00B52A36"/>
    <w:rsid w:val="00B668E4"/>
    <w:rsid w:val="00B66F33"/>
    <w:rsid w:val="00B81149"/>
    <w:rsid w:val="00B81A12"/>
    <w:rsid w:val="00B90BFA"/>
    <w:rsid w:val="00B929EF"/>
    <w:rsid w:val="00B954BC"/>
    <w:rsid w:val="00B96F6D"/>
    <w:rsid w:val="00BA078F"/>
    <w:rsid w:val="00BA0BDE"/>
    <w:rsid w:val="00BC4069"/>
    <w:rsid w:val="00BC51AF"/>
    <w:rsid w:val="00BD394D"/>
    <w:rsid w:val="00BD4D2F"/>
    <w:rsid w:val="00BD6BA9"/>
    <w:rsid w:val="00BE408E"/>
    <w:rsid w:val="00BE514C"/>
    <w:rsid w:val="00BF0405"/>
    <w:rsid w:val="00BF6B3E"/>
    <w:rsid w:val="00C00CF1"/>
    <w:rsid w:val="00C040E7"/>
    <w:rsid w:val="00C067BC"/>
    <w:rsid w:val="00C15969"/>
    <w:rsid w:val="00C1666F"/>
    <w:rsid w:val="00C31A1D"/>
    <w:rsid w:val="00C33452"/>
    <w:rsid w:val="00C4287A"/>
    <w:rsid w:val="00C450CC"/>
    <w:rsid w:val="00C452B4"/>
    <w:rsid w:val="00C53FBD"/>
    <w:rsid w:val="00C54853"/>
    <w:rsid w:val="00C718C7"/>
    <w:rsid w:val="00C82A0C"/>
    <w:rsid w:val="00C85CA6"/>
    <w:rsid w:val="00C862A0"/>
    <w:rsid w:val="00C8658F"/>
    <w:rsid w:val="00C8682B"/>
    <w:rsid w:val="00C87638"/>
    <w:rsid w:val="00C969CF"/>
    <w:rsid w:val="00CA13D4"/>
    <w:rsid w:val="00CB12D6"/>
    <w:rsid w:val="00CB2406"/>
    <w:rsid w:val="00CC1604"/>
    <w:rsid w:val="00CD1A6D"/>
    <w:rsid w:val="00CD3302"/>
    <w:rsid w:val="00CD373E"/>
    <w:rsid w:val="00CD4B26"/>
    <w:rsid w:val="00CE60C1"/>
    <w:rsid w:val="00CF0E38"/>
    <w:rsid w:val="00CF5C7C"/>
    <w:rsid w:val="00CF5F6C"/>
    <w:rsid w:val="00D038C1"/>
    <w:rsid w:val="00D16F5F"/>
    <w:rsid w:val="00D1738F"/>
    <w:rsid w:val="00D22F5E"/>
    <w:rsid w:val="00D3360A"/>
    <w:rsid w:val="00D40707"/>
    <w:rsid w:val="00D4588A"/>
    <w:rsid w:val="00D46CC7"/>
    <w:rsid w:val="00D56119"/>
    <w:rsid w:val="00D5643B"/>
    <w:rsid w:val="00D61A72"/>
    <w:rsid w:val="00D633BB"/>
    <w:rsid w:val="00D63CFD"/>
    <w:rsid w:val="00D65E76"/>
    <w:rsid w:val="00D67A97"/>
    <w:rsid w:val="00D74743"/>
    <w:rsid w:val="00D74A2F"/>
    <w:rsid w:val="00D76940"/>
    <w:rsid w:val="00D80A5F"/>
    <w:rsid w:val="00D845F4"/>
    <w:rsid w:val="00D86D8E"/>
    <w:rsid w:val="00D879CD"/>
    <w:rsid w:val="00D927D7"/>
    <w:rsid w:val="00D93A0D"/>
    <w:rsid w:val="00DA2449"/>
    <w:rsid w:val="00DA57C2"/>
    <w:rsid w:val="00DA663C"/>
    <w:rsid w:val="00DB3364"/>
    <w:rsid w:val="00DB46E3"/>
    <w:rsid w:val="00DC36E4"/>
    <w:rsid w:val="00DC709D"/>
    <w:rsid w:val="00DD19AE"/>
    <w:rsid w:val="00DD4397"/>
    <w:rsid w:val="00DD4CA6"/>
    <w:rsid w:val="00DE1F31"/>
    <w:rsid w:val="00DF185B"/>
    <w:rsid w:val="00DF2DC0"/>
    <w:rsid w:val="00DF47E0"/>
    <w:rsid w:val="00DF58DF"/>
    <w:rsid w:val="00E06922"/>
    <w:rsid w:val="00E1061B"/>
    <w:rsid w:val="00E12D89"/>
    <w:rsid w:val="00E2108E"/>
    <w:rsid w:val="00E22828"/>
    <w:rsid w:val="00E23064"/>
    <w:rsid w:val="00E279C7"/>
    <w:rsid w:val="00E32089"/>
    <w:rsid w:val="00E439C0"/>
    <w:rsid w:val="00E45099"/>
    <w:rsid w:val="00E569C0"/>
    <w:rsid w:val="00E57BAE"/>
    <w:rsid w:val="00E62562"/>
    <w:rsid w:val="00E82656"/>
    <w:rsid w:val="00E937EB"/>
    <w:rsid w:val="00E971BC"/>
    <w:rsid w:val="00EA2597"/>
    <w:rsid w:val="00EA2706"/>
    <w:rsid w:val="00EA7262"/>
    <w:rsid w:val="00EB3323"/>
    <w:rsid w:val="00EB38F7"/>
    <w:rsid w:val="00EB3B09"/>
    <w:rsid w:val="00EB4D4F"/>
    <w:rsid w:val="00EB6442"/>
    <w:rsid w:val="00EC5F77"/>
    <w:rsid w:val="00EC73DF"/>
    <w:rsid w:val="00EC74D6"/>
    <w:rsid w:val="00ED256E"/>
    <w:rsid w:val="00ED42B8"/>
    <w:rsid w:val="00EE670E"/>
    <w:rsid w:val="00EF3198"/>
    <w:rsid w:val="00F00D33"/>
    <w:rsid w:val="00F041C9"/>
    <w:rsid w:val="00F1215B"/>
    <w:rsid w:val="00F20DBD"/>
    <w:rsid w:val="00F21985"/>
    <w:rsid w:val="00F22040"/>
    <w:rsid w:val="00F24716"/>
    <w:rsid w:val="00F24FA4"/>
    <w:rsid w:val="00F31F8C"/>
    <w:rsid w:val="00F33284"/>
    <w:rsid w:val="00F37C9B"/>
    <w:rsid w:val="00F404F1"/>
    <w:rsid w:val="00F40D6F"/>
    <w:rsid w:val="00F47342"/>
    <w:rsid w:val="00F51868"/>
    <w:rsid w:val="00F54B2A"/>
    <w:rsid w:val="00F61A3E"/>
    <w:rsid w:val="00F61E1A"/>
    <w:rsid w:val="00F64B5A"/>
    <w:rsid w:val="00F66C7E"/>
    <w:rsid w:val="00F7392C"/>
    <w:rsid w:val="00F76968"/>
    <w:rsid w:val="00F774DB"/>
    <w:rsid w:val="00F775E8"/>
    <w:rsid w:val="00F861F3"/>
    <w:rsid w:val="00F92154"/>
    <w:rsid w:val="00F92B46"/>
    <w:rsid w:val="00F933CB"/>
    <w:rsid w:val="00FA35BA"/>
    <w:rsid w:val="00FB0041"/>
    <w:rsid w:val="00FB0718"/>
    <w:rsid w:val="00FB5DEC"/>
    <w:rsid w:val="00FC17D7"/>
    <w:rsid w:val="00FD077A"/>
    <w:rsid w:val="00FD1C0B"/>
    <w:rsid w:val="00FD6715"/>
    <w:rsid w:val="00FD6AA4"/>
    <w:rsid w:val="00FD6F4B"/>
    <w:rsid w:val="00FE0A93"/>
    <w:rsid w:val="00FE3FCE"/>
    <w:rsid w:val="00FE43D2"/>
    <w:rsid w:val="00FE4BD3"/>
    <w:rsid w:val="00FE73EA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9C20D1"/>
  <w15:chartTrackingRefBased/>
  <w15:docId w15:val="{80DAA703-71F3-42BA-AE0B-2B5ED574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3C8A"/>
    <w:pPr>
      <w:suppressAutoHyphens/>
      <w:spacing w:after="120"/>
      <w:jc w:val="both"/>
    </w:pPr>
    <w:rPr>
      <w:rFonts w:cs="Arial"/>
      <w:sz w:val="22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/>
      <w:ind w:left="284" w:hanging="284"/>
      <w:outlineLvl w:val="0"/>
    </w:pPr>
    <w:rPr>
      <w:b/>
      <w:sz w:val="24"/>
      <w:szCs w:val="40"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120"/>
      <w:outlineLvl w:val="1"/>
    </w:pPr>
    <w:rPr>
      <w:b/>
      <w:szCs w:val="5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  <w:lang w:val="x-none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Times New Roman"/>
      <w:i/>
      <w:iCs/>
      <w:sz w:val="24"/>
      <w:lang w:val="x-none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 w:cs="Times New Roman"/>
      <w:szCs w:val="2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cs="Times New Roman" w:hint="default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Calibri" w:cs="Times New Roman"/>
      <w:szCs w:val="22"/>
      <w:lang w:eastAsia="en-U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Calibri" w:hAnsi="Times New Roman" w:cs="Times New Roman" w:hint="default"/>
      <w:i/>
      <w:sz w:val="20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  <w:sz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sz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sz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sz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Verdana" w:hAnsi="Verdana" w:cs="Verdana" w:hint="default"/>
      <w:szCs w:val="22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Verdana" w:hAnsi="Verdana" w:cs="Verdana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ourier New" w:hAnsi="Courier New" w:cs="Courier New" w:hint="default"/>
      <w:szCs w:val="2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rPr>
      <w:rFonts w:cs="Arial"/>
    </w:rPr>
  </w:style>
  <w:style w:type="character" w:customStyle="1" w:styleId="CorpotestoCarattere">
    <w:name w:val="Corpo testo Carattere"/>
    <w:rPr>
      <w:rFonts w:ascii="Bookman Old Style" w:hAnsi="Bookman Old Style" w:cs="Bookman Old Style"/>
      <w:sz w:val="22"/>
      <w:szCs w:val="24"/>
    </w:rPr>
  </w:style>
  <w:style w:type="character" w:customStyle="1" w:styleId="PidipaginaCarattere">
    <w:name w:val="Piè di pagina Carattere"/>
    <w:rPr>
      <w:rFonts w:cs="Arial"/>
      <w:sz w:val="22"/>
      <w:szCs w:val="24"/>
    </w:rPr>
  </w:style>
  <w:style w:type="character" w:customStyle="1" w:styleId="Titolo7Carattere">
    <w:name w:val="Titolo 7 Carattere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rPr>
      <w:rFonts w:ascii="Calibri Light" w:eastAsia="Times New Roman" w:hAnsi="Calibri Light" w:cs="Times New Roman"/>
      <w:sz w:val="22"/>
      <w:szCs w:val="22"/>
    </w:rPr>
  </w:style>
  <w:style w:type="character" w:styleId="Enfasicorsivo">
    <w:name w:val="Emphasis"/>
    <w:qFormat/>
    <w:rPr>
      <w:i/>
      <w:iCs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Pr>
      <w:rFonts w:ascii="Bookman Old Style" w:hAnsi="Bookman Old Style" w:cs="Times New Roman"/>
      <w:lang w:val="x-none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/>
    </w:pPr>
    <w:rPr>
      <w:i/>
      <w:iCs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rpodeltesto21">
    <w:name w:val="Corpo del testo 21"/>
    <w:basedOn w:val="Normale"/>
    <w:pPr>
      <w:ind w:right="-143"/>
    </w:pPr>
  </w:style>
  <w:style w:type="paragraph" w:customStyle="1" w:styleId="Rientrocorpodeltesto21">
    <w:name w:val="Rientro corpo del testo 21"/>
    <w:basedOn w:val="Normale"/>
    <w:pPr>
      <w:ind w:firstLine="360"/>
    </w:pPr>
    <w:rPr>
      <w:rFonts w:ascii="Bookman Old Style" w:hAnsi="Bookman Old Style" w:cs="Bookman Old Style"/>
    </w:rPr>
  </w:style>
  <w:style w:type="paragraph" w:customStyle="1" w:styleId="Rientrocorpodeltesto31">
    <w:name w:val="Rientro corpo del testo 31"/>
    <w:basedOn w:val="Normale"/>
    <w:pPr>
      <w:ind w:firstLine="708"/>
    </w:pPr>
    <w:rPr>
      <w:rFonts w:ascii="Bookman Old Style" w:hAnsi="Bookman Old Style" w:cs="Bookman Old Style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  <w:lang w:val="x-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rFonts w:cs="Times New Roman"/>
      <w:sz w:val="20"/>
      <w:szCs w:val="20"/>
      <w:lang w:val="x-none"/>
    </w:rPr>
  </w:style>
  <w:style w:type="paragraph" w:styleId="Testofumetto">
    <w:name w:val="Balloon Text"/>
    <w:basedOn w:val="Normale"/>
    <w:pPr>
      <w:spacing w:after="0"/>
    </w:pPr>
    <w:rPr>
      <w:rFonts w:ascii="Segoe UI" w:hAnsi="Segoe UI" w:cs="Times New Roman"/>
      <w:sz w:val="18"/>
      <w:szCs w:val="18"/>
      <w:lang w:val="x-none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Cs w:val="22"/>
    </w:rPr>
  </w:style>
  <w:style w:type="paragraph" w:styleId="Titolosommario">
    <w:name w:val="TOC Heading"/>
    <w:basedOn w:val="Titolo1"/>
    <w:next w:val="Normale"/>
    <w:qFormat/>
    <w:pPr>
      <w:keepLines/>
      <w:numPr>
        <w:numId w:val="0"/>
      </w:numPr>
      <w:spacing w:after="0" w:line="256" w:lineRule="auto"/>
      <w:ind w:left="284" w:hanging="284"/>
      <w:jc w:val="left"/>
    </w:pPr>
    <w:rPr>
      <w:rFonts w:ascii="Calibri Light" w:hAnsi="Calibri Light" w:cs="Times New Roman"/>
      <w:b w:val="0"/>
      <w:color w:val="2E74B5"/>
      <w:sz w:val="32"/>
      <w:szCs w:val="32"/>
      <w:u w:val="none"/>
    </w:rPr>
  </w:style>
  <w:style w:type="paragraph" w:styleId="Sommario1">
    <w:name w:val="toc 1"/>
    <w:basedOn w:val="Normale"/>
    <w:next w:val="Normale"/>
  </w:style>
  <w:style w:type="paragraph" w:styleId="Sommario2">
    <w:name w:val="toc 2"/>
    <w:basedOn w:val="Normale"/>
    <w:next w:val="Normale"/>
    <w:pPr>
      <w:ind w:left="220"/>
    </w:pPr>
  </w:style>
  <w:style w:type="paragraph" w:styleId="NormaleWeb">
    <w:name w:val="Normal (Web)"/>
    <w:basedOn w:val="Normale"/>
    <w:rPr>
      <w:rFonts w:cs="Times New Roman"/>
      <w:sz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Rimandonotaapidipagina">
    <w:name w:val="footnote reference"/>
    <w:unhideWhenUsed/>
    <w:rsid w:val="008E251E"/>
    <w:rPr>
      <w:vertAlign w:val="superscript"/>
    </w:rPr>
  </w:style>
  <w:style w:type="paragraph" w:styleId="Nessunaspaziatura">
    <w:name w:val="No Spacing"/>
    <w:uiPriority w:val="1"/>
    <w:qFormat/>
    <w:rsid w:val="00F1215B"/>
    <w:pPr>
      <w:suppressAutoHyphens/>
      <w:jc w:val="both"/>
    </w:pPr>
    <w:rPr>
      <w:rFonts w:cs="Arial"/>
      <w:sz w:val="22"/>
      <w:szCs w:val="24"/>
      <w:lang w:eastAsia="zh-CN"/>
    </w:rPr>
  </w:style>
  <w:style w:type="character" w:styleId="Rimandocommento">
    <w:name w:val="annotation reference"/>
    <w:uiPriority w:val="99"/>
    <w:semiHidden/>
    <w:unhideWhenUsed/>
    <w:rsid w:val="00C548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54853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C54853"/>
    <w:rPr>
      <w:rFonts w:cs="Arial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85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54853"/>
    <w:rPr>
      <w:rFonts w:cs="Arial"/>
      <w:b/>
      <w:bCs/>
      <w:lang w:eastAsia="zh-CN"/>
    </w:rPr>
  </w:style>
  <w:style w:type="paragraph" w:styleId="Revisione">
    <w:name w:val="Revision"/>
    <w:hidden/>
    <w:uiPriority w:val="99"/>
    <w:semiHidden/>
    <w:rsid w:val="00681511"/>
    <w:rPr>
      <w:rFonts w:cs="Arial"/>
      <w:sz w:val="22"/>
      <w:szCs w:val="24"/>
      <w:lang w:eastAsia="zh-CN"/>
    </w:rPr>
  </w:style>
  <w:style w:type="paragraph" w:customStyle="1" w:styleId="Standard">
    <w:name w:val="Standard"/>
    <w:rsid w:val="002021B5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regione.veneto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5ae81-9913-4e47-9d27-e498b1f22f34"/>
    <lcf76f155ced4ddcb4097134ff3c332f xmlns="a4efd367-c81e-4670-97d4-4e1836f5ed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9D10B6C97D7743BD6ED24DE12B39AE" ma:contentTypeVersion="14" ma:contentTypeDescription="Creare un nuovo documento." ma:contentTypeScope="" ma:versionID="50d642922742ecf4c9e0d6afb766f253">
  <xsd:schema xmlns:xsd="http://www.w3.org/2001/XMLSchema" xmlns:xs="http://www.w3.org/2001/XMLSchema" xmlns:p="http://schemas.microsoft.com/office/2006/metadata/properties" xmlns:ns2="a4efd367-c81e-4670-97d4-4e1836f5ed44" xmlns:ns3="4675ae81-9913-4e47-9d27-e498b1f22f34" targetNamespace="http://schemas.microsoft.com/office/2006/metadata/properties" ma:root="true" ma:fieldsID="d0c6eda2c86ca0e211e3863c161dfcbe" ns2:_="" ns3:_="">
    <xsd:import namespace="a4efd367-c81e-4670-97d4-4e1836f5ed44"/>
    <xsd:import namespace="4675ae81-9913-4e47-9d27-e498b1f22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d367-c81e-4670-97d4-4e1836f5e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64876e0-6852-445e-b5e4-692583c472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5ae81-9913-4e47-9d27-e498b1f22f3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1b5ce64-c1f5-4e78-8f7c-76b3b65f02a5}" ma:internalName="TaxCatchAll" ma:showField="CatchAllData" ma:web="4675ae81-9913-4e47-9d27-e498b1f22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B6204-0AB0-4F18-ABD2-417DC1914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022F9-50CB-4CD8-BD0B-550C2FE6A7A6}">
  <ds:schemaRefs>
    <ds:schemaRef ds:uri="http://schemas.microsoft.com/office/2006/metadata/properties"/>
    <ds:schemaRef ds:uri="http://schemas.microsoft.com/office/infopath/2007/PartnerControls"/>
    <ds:schemaRef ds:uri="4675ae81-9913-4e47-9d27-e498b1f22f34"/>
    <ds:schemaRef ds:uri="a4efd367-c81e-4670-97d4-4e1836f5ed44"/>
  </ds:schemaRefs>
</ds:datastoreItem>
</file>

<file path=customXml/itemProps3.xml><?xml version="1.0" encoding="utf-8"?>
<ds:datastoreItem xmlns:ds="http://schemas.openxmlformats.org/officeDocument/2006/customXml" ds:itemID="{0F38A8AB-BE8F-4E79-A93D-BE6D84B4A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d367-c81e-4670-97d4-4e1836f5ed44"/>
    <ds:schemaRef ds:uri="4675ae81-9913-4e47-9d27-e498b1f22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83E508-CA6E-4711-AC63-DC1814B1B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14810</CharactersWithSpaces>
  <SharedDoc>false</SharedDoc>
  <HLinks>
    <vt:vector size="12" baseType="variant">
      <vt:variant>
        <vt:i4>4194352</vt:i4>
      </vt:variant>
      <vt:variant>
        <vt:i4>6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5308515</vt:i4>
      </vt:variant>
      <vt:variant>
        <vt:i4>0</vt:i4>
      </vt:variant>
      <vt:variant>
        <vt:i4>0</vt:i4>
      </vt:variant>
      <vt:variant>
        <vt:i4>5</vt:i4>
      </vt:variant>
      <vt:variant>
        <vt:lpwstr>mailto:pianificazioneterritoriale@pec.regione.veneto.it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maria-pastrello</dc:creator>
  <cp:keywords/>
  <dc:description/>
  <cp:lastModifiedBy>Carmela Tiziana Di Stefano</cp:lastModifiedBy>
  <cp:revision>26</cp:revision>
  <cp:lastPrinted>2024-05-23T08:24:00Z</cp:lastPrinted>
  <dcterms:created xsi:type="dcterms:W3CDTF">2023-07-28T10:27:00Z</dcterms:created>
  <dcterms:modified xsi:type="dcterms:W3CDTF">2025-03-13T14:52:00Z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0x010100BA9D10B6C97D7743BD6ED24DE12B39AE</vt:lpwstr>
  </property>
</Properties>
</file>