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8B5" w:rsidRDefault="005758B5">
      <w:pPr>
        <w:widowControl w:val="0"/>
        <w:pBdr>
          <w:top w:val="nil"/>
          <w:left w:val="nil"/>
          <w:bottom w:val="nil"/>
          <w:right w:val="nil"/>
          <w:between w:val="nil"/>
        </w:pBdr>
        <w:spacing w:line="276" w:lineRule="auto"/>
        <w:rPr>
          <w:color w:val="000000"/>
          <w:sz w:val="22"/>
          <w:szCs w:val="22"/>
        </w:rPr>
      </w:pPr>
      <w:bookmarkStart w:id="0" w:name="_GoBack"/>
      <w:bookmarkEnd w:id="0"/>
    </w:p>
    <w:tbl>
      <w:tblPr>
        <w:tblStyle w:val="a"/>
        <w:tblpPr w:leftFromText="141" w:rightFromText="141" w:vertAnchor="text" w:tblpY="1"/>
        <w:tblOverlap w:val="never"/>
        <w:tblW w:w="15165" w:type="dxa"/>
        <w:tblInd w:w="0" w:type="dxa"/>
        <w:tblLayout w:type="fixed"/>
        <w:tblLook w:val="0400" w:firstRow="0" w:lastRow="0" w:firstColumn="0" w:lastColumn="0" w:noHBand="0" w:noVBand="1"/>
      </w:tblPr>
      <w:tblGrid>
        <w:gridCol w:w="285"/>
        <w:gridCol w:w="1440"/>
        <w:gridCol w:w="495"/>
        <w:gridCol w:w="7020"/>
        <w:gridCol w:w="1335"/>
        <w:gridCol w:w="3600"/>
        <w:gridCol w:w="990"/>
      </w:tblGrid>
      <w:tr w:rsidR="005758B5" w:rsidTr="00D31403">
        <w:trPr>
          <w:trHeight w:val="720"/>
        </w:trPr>
        <w:tc>
          <w:tcPr>
            <w:tcW w:w="285" w:type="dxa"/>
            <w:tcBorders>
              <w:top w:val="nil"/>
              <w:left w:val="nil"/>
              <w:bottom w:val="nil"/>
              <w:right w:val="nil"/>
            </w:tcBorders>
            <w:shd w:val="clear" w:color="auto" w:fill="auto"/>
            <w:vAlign w:val="bottom"/>
          </w:tcPr>
          <w:p w:rsidR="005758B5" w:rsidRDefault="005758B5" w:rsidP="00D31403">
            <w:pPr>
              <w:jc w:val="both"/>
              <w:rPr>
                <w:rFonts w:ascii="Times New Roman" w:eastAsia="Times New Roman" w:hAnsi="Times New Roman" w:cs="Times New Roman"/>
                <w:sz w:val="20"/>
                <w:szCs w:val="20"/>
              </w:rPr>
            </w:pPr>
          </w:p>
        </w:tc>
        <w:tc>
          <w:tcPr>
            <w:tcW w:w="13890" w:type="dxa"/>
            <w:gridSpan w:val="5"/>
            <w:vMerge w:val="restart"/>
            <w:tcBorders>
              <w:top w:val="nil"/>
              <w:left w:val="nil"/>
              <w:right w:val="nil"/>
            </w:tcBorders>
            <w:shd w:val="clear" w:color="auto" w:fill="auto"/>
          </w:tcPr>
          <w:p w:rsidR="005758B5" w:rsidRDefault="00C2519A" w:rsidP="00D31403">
            <w:pPr>
              <w:spacing w:after="200"/>
              <w:jc w:val="both"/>
              <w:rPr>
                <w:rFonts w:ascii="Times New Roman" w:eastAsia="Times New Roman" w:hAnsi="Times New Roman" w:cs="Times New Roman"/>
                <w:b/>
                <w:color w:val="000000"/>
                <w:sz w:val="28"/>
                <w:szCs w:val="28"/>
              </w:rPr>
            </w:pPr>
            <w:bookmarkStart w:id="1" w:name="_heading=h.gjdgxs" w:colFirst="0" w:colLast="0"/>
            <w:bookmarkEnd w:id="1"/>
            <w:r>
              <w:rPr>
                <w:rFonts w:ascii="Times New Roman" w:eastAsia="Times New Roman" w:hAnsi="Times New Roman" w:cs="Times New Roman"/>
                <w:b/>
                <w:color w:val="000000"/>
                <w:sz w:val="28"/>
                <w:szCs w:val="28"/>
              </w:rPr>
              <w:t>CHECK LIST PER IL CONTROLLO DEL RISPETTO DEI VINCOLI PREVISTI DAL PRINCIPIO “DNSH”</w:t>
            </w:r>
          </w:p>
          <w:p w:rsidR="005758B5" w:rsidRDefault="00C2519A" w:rsidP="00D31403">
            <w:pPr>
              <w:spacing w:after="20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Bando di finanziamento per sostenere gli investimenti nelle infrastrutture di ricerca - Programma Regionale (PR) Veneto FESR 2021-2027 - Azione 1.1.2 “Sostenere gli investimenti nelle infrastrutture di ricerca, nei centri innovazione e trasferimento tecnologico per la fornitura di servizi avanzati alle imprese” - Sub A “Investimenti nelle infrastrutture di ricerca, nei centri innovazione e trasferimento tecnologico per la fornitura di servizi”.</w:t>
            </w:r>
          </w:p>
        </w:tc>
        <w:tc>
          <w:tcPr>
            <w:tcW w:w="990" w:type="dxa"/>
            <w:tcBorders>
              <w:top w:val="nil"/>
              <w:left w:val="nil"/>
              <w:bottom w:val="nil"/>
              <w:right w:val="nil"/>
            </w:tcBorders>
            <w:shd w:val="clear" w:color="auto" w:fill="auto"/>
          </w:tcPr>
          <w:p w:rsidR="005758B5" w:rsidRDefault="005758B5" w:rsidP="00D31403">
            <w:pPr>
              <w:rPr>
                <w:rFonts w:ascii="Times New Roman" w:eastAsia="Times New Roman" w:hAnsi="Times New Roman" w:cs="Times New Roman"/>
                <w:sz w:val="20"/>
                <w:szCs w:val="20"/>
              </w:rPr>
            </w:pPr>
          </w:p>
        </w:tc>
      </w:tr>
      <w:tr w:rsidR="005758B5" w:rsidTr="00D31403">
        <w:trPr>
          <w:trHeight w:val="120"/>
        </w:trPr>
        <w:tc>
          <w:tcPr>
            <w:tcW w:w="285" w:type="dxa"/>
            <w:tcBorders>
              <w:top w:val="nil"/>
              <w:left w:val="nil"/>
              <w:bottom w:val="nil"/>
              <w:right w:val="nil"/>
            </w:tcBorders>
            <w:shd w:val="clear" w:color="auto" w:fill="auto"/>
            <w:vAlign w:val="bottom"/>
          </w:tcPr>
          <w:p w:rsidR="005758B5" w:rsidRDefault="005758B5" w:rsidP="00D31403">
            <w:pPr>
              <w:rPr>
                <w:rFonts w:ascii="Times New Roman" w:eastAsia="Times New Roman" w:hAnsi="Times New Roman" w:cs="Times New Roman"/>
                <w:sz w:val="20"/>
                <w:szCs w:val="20"/>
              </w:rPr>
            </w:pPr>
          </w:p>
        </w:tc>
        <w:tc>
          <w:tcPr>
            <w:tcW w:w="13890" w:type="dxa"/>
            <w:gridSpan w:val="5"/>
            <w:vMerge/>
            <w:tcBorders>
              <w:top w:val="nil"/>
              <w:left w:val="nil"/>
              <w:right w:val="nil"/>
            </w:tcBorders>
            <w:shd w:val="clear" w:color="auto" w:fill="auto"/>
          </w:tcPr>
          <w:p w:rsidR="005758B5" w:rsidRDefault="005758B5" w:rsidP="00D3140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tcPr>
          <w:p w:rsidR="005758B5" w:rsidRDefault="005758B5" w:rsidP="00D31403">
            <w:pPr>
              <w:rPr>
                <w:rFonts w:ascii="Times New Roman" w:eastAsia="Times New Roman" w:hAnsi="Times New Roman" w:cs="Times New Roman"/>
                <w:sz w:val="20"/>
                <w:szCs w:val="20"/>
              </w:rPr>
            </w:pPr>
          </w:p>
        </w:tc>
      </w:tr>
      <w:tr w:rsidR="005758B5" w:rsidTr="00D31403">
        <w:trPr>
          <w:trHeight w:val="64"/>
        </w:trPr>
        <w:tc>
          <w:tcPr>
            <w:tcW w:w="285" w:type="dxa"/>
            <w:tcBorders>
              <w:top w:val="nil"/>
              <w:left w:val="nil"/>
              <w:bottom w:val="nil"/>
              <w:right w:val="nil"/>
            </w:tcBorders>
            <w:shd w:val="clear" w:color="auto" w:fill="auto"/>
            <w:vAlign w:val="bottom"/>
          </w:tcPr>
          <w:p w:rsidR="005758B5" w:rsidRDefault="005758B5" w:rsidP="00D31403">
            <w:pPr>
              <w:rPr>
                <w:rFonts w:ascii="Times New Roman" w:eastAsia="Times New Roman" w:hAnsi="Times New Roman" w:cs="Times New Roman"/>
                <w:sz w:val="20"/>
                <w:szCs w:val="20"/>
              </w:rPr>
            </w:pPr>
          </w:p>
        </w:tc>
        <w:tc>
          <w:tcPr>
            <w:tcW w:w="13890" w:type="dxa"/>
            <w:gridSpan w:val="5"/>
            <w:vMerge/>
            <w:tcBorders>
              <w:top w:val="nil"/>
              <w:left w:val="nil"/>
              <w:right w:val="nil"/>
            </w:tcBorders>
            <w:shd w:val="clear" w:color="auto" w:fill="auto"/>
          </w:tcPr>
          <w:p w:rsidR="005758B5" w:rsidRDefault="005758B5" w:rsidP="00D3140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tcPr>
          <w:p w:rsidR="005758B5" w:rsidRDefault="005758B5" w:rsidP="00D31403">
            <w:pPr>
              <w:rPr>
                <w:rFonts w:ascii="Times New Roman" w:eastAsia="Times New Roman" w:hAnsi="Times New Roman" w:cs="Times New Roman"/>
                <w:sz w:val="20"/>
                <w:szCs w:val="20"/>
              </w:rPr>
            </w:pPr>
          </w:p>
        </w:tc>
      </w:tr>
      <w:tr w:rsidR="005758B5" w:rsidTr="00D31403">
        <w:trPr>
          <w:trHeight w:val="285"/>
        </w:trPr>
        <w:tc>
          <w:tcPr>
            <w:tcW w:w="285" w:type="dxa"/>
            <w:tcBorders>
              <w:top w:val="nil"/>
              <w:left w:val="nil"/>
              <w:bottom w:val="nil"/>
              <w:right w:val="nil"/>
            </w:tcBorders>
            <w:shd w:val="clear" w:color="auto" w:fill="auto"/>
            <w:vAlign w:val="bottom"/>
          </w:tcPr>
          <w:p w:rsidR="005758B5" w:rsidRDefault="005758B5" w:rsidP="00D31403">
            <w:pPr>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8B5" w:rsidRDefault="00C2519A" w:rsidP="00D31403">
            <w:pPr>
              <w:rPr>
                <w:rFonts w:ascii="Times New Roman" w:eastAsia="Times New Roman" w:hAnsi="Times New Roman" w:cs="Times New Roman"/>
                <w:sz w:val="20"/>
                <w:szCs w:val="20"/>
              </w:rPr>
            </w:pPr>
            <w:r>
              <w:rPr>
                <w:rFonts w:ascii="Times New Roman" w:eastAsia="Times New Roman" w:hAnsi="Times New Roman" w:cs="Times New Roman"/>
                <w:b/>
                <w:color w:val="000000"/>
                <w:sz w:val="22"/>
                <w:szCs w:val="22"/>
              </w:rPr>
              <w:t>Tempo di</w:t>
            </w:r>
            <w:r>
              <w:rPr>
                <w:rFonts w:ascii="Times New Roman" w:eastAsia="Times New Roman" w:hAnsi="Times New Roman" w:cs="Times New Roman"/>
                <w:b/>
                <w:color w:val="000000"/>
                <w:sz w:val="22"/>
                <w:szCs w:val="22"/>
              </w:rPr>
              <w:br/>
              <w:t>svolgimento delle</w:t>
            </w:r>
            <w:r>
              <w:rPr>
                <w:rFonts w:ascii="Times New Roman" w:eastAsia="Times New Roman" w:hAnsi="Times New Roman" w:cs="Times New Roman"/>
                <w:b/>
                <w:color w:val="000000"/>
                <w:sz w:val="22"/>
                <w:szCs w:val="22"/>
              </w:rPr>
              <w:br/>
              <w:t>verifiche</w:t>
            </w:r>
          </w:p>
        </w:tc>
        <w:tc>
          <w:tcPr>
            <w:tcW w:w="495" w:type="dxa"/>
            <w:tcBorders>
              <w:top w:val="single" w:sz="4" w:space="0" w:color="000000"/>
              <w:left w:val="nil"/>
              <w:bottom w:val="single" w:sz="4" w:space="0" w:color="000000"/>
              <w:right w:val="single" w:sz="4" w:space="0" w:color="000000"/>
            </w:tcBorders>
            <w:shd w:val="clear" w:color="auto" w:fill="auto"/>
            <w:vAlign w:val="center"/>
          </w:tcPr>
          <w:p w:rsidR="005758B5" w:rsidRDefault="00C2519A" w:rsidP="00D31403">
            <w:pPr>
              <w:rPr>
                <w:rFonts w:ascii="Times New Roman" w:eastAsia="Times New Roman" w:hAnsi="Times New Roman" w:cs="Times New Roman"/>
                <w:sz w:val="20"/>
                <w:szCs w:val="20"/>
              </w:rPr>
            </w:pPr>
            <w:r>
              <w:rPr>
                <w:rFonts w:ascii="Times New Roman" w:eastAsia="Times New Roman" w:hAnsi="Times New Roman" w:cs="Times New Roman"/>
                <w:b/>
                <w:color w:val="000000"/>
                <w:sz w:val="22"/>
                <w:szCs w:val="22"/>
              </w:rPr>
              <w:t>n.</w:t>
            </w:r>
          </w:p>
        </w:tc>
        <w:tc>
          <w:tcPr>
            <w:tcW w:w="7020" w:type="dxa"/>
            <w:tcBorders>
              <w:top w:val="single" w:sz="4" w:space="0" w:color="000000"/>
              <w:left w:val="nil"/>
              <w:bottom w:val="single" w:sz="4" w:space="0" w:color="000000"/>
              <w:right w:val="single" w:sz="4" w:space="0" w:color="000000"/>
            </w:tcBorders>
            <w:shd w:val="clear" w:color="auto" w:fill="auto"/>
            <w:vAlign w:val="center"/>
          </w:tcPr>
          <w:p w:rsidR="005758B5" w:rsidRDefault="00C2519A" w:rsidP="00D31403">
            <w:pPr>
              <w:rPr>
                <w:rFonts w:ascii="Times New Roman" w:eastAsia="Times New Roman" w:hAnsi="Times New Roman" w:cs="Times New Roman"/>
                <w:sz w:val="20"/>
                <w:szCs w:val="20"/>
              </w:rPr>
            </w:pPr>
            <w:r>
              <w:rPr>
                <w:rFonts w:ascii="Times New Roman" w:eastAsia="Times New Roman" w:hAnsi="Times New Roman" w:cs="Times New Roman"/>
                <w:b/>
                <w:color w:val="000000"/>
                <w:sz w:val="22"/>
                <w:szCs w:val="22"/>
              </w:rPr>
              <w:t>ELENCO DI CONTROLLO</w:t>
            </w:r>
          </w:p>
        </w:tc>
        <w:tc>
          <w:tcPr>
            <w:tcW w:w="1335" w:type="dxa"/>
            <w:tcBorders>
              <w:top w:val="single" w:sz="4" w:space="0" w:color="000000"/>
              <w:left w:val="nil"/>
              <w:bottom w:val="single" w:sz="4" w:space="0" w:color="000000"/>
              <w:right w:val="single" w:sz="4" w:space="0" w:color="000000"/>
            </w:tcBorders>
            <w:shd w:val="clear" w:color="auto" w:fill="auto"/>
            <w:vAlign w:val="center"/>
          </w:tcPr>
          <w:p w:rsidR="005758B5" w:rsidRDefault="00C2519A" w:rsidP="00D31403">
            <w:pPr>
              <w:rPr>
                <w:rFonts w:ascii="Times New Roman" w:eastAsia="Times New Roman" w:hAnsi="Times New Roman" w:cs="Times New Roman"/>
                <w:sz w:val="20"/>
                <w:szCs w:val="20"/>
              </w:rPr>
            </w:pPr>
            <w:r>
              <w:rPr>
                <w:rFonts w:ascii="Times New Roman" w:eastAsia="Times New Roman" w:hAnsi="Times New Roman" w:cs="Times New Roman"/>
                <w:b/>
                <w:color w:val="000000"/>
                <w:sz w:val="22"/>
                <w:szCs w:val="22"/>
              </w:rPr>
              <w:t>Esito (Sì/No/Non applicabile)</w:t>
            </w:r>
          </w:p>
        </w:tc>
        <w:tc>
          <w:tcPr>
            <w:tcW w:w="3600" w:type="dxa"/>
            <w:tcBorders>
              <w:top w:val="single" w:sz="4" w:space="0" w:color="000000"/>
              <w:left w:val="nil"/>
              <w:bottom w:val="single" w:sz="4" w:space="0" w:color="000000"/>
              <w:right w:val="single" w:sz="4" w:space="0" w:color="000000"/>
            </w:tcBorders>
            <w:shd w:val="clear" w:color="auto" w:fill="auto"/>
            <w:vAlign w:val="center"/>
          </w:tcPr>
          <w:p w:rsidR="005758B5" w:rsidRDefault="00C2519A" w:rsidP="00D31403">
            <w:pPr>
              <w:jc w:val="center"/>
              <w:rPr>
                <w:rFonts w:ascii="Times New Roman" w:eastAsia="Times New Roman" w:hAnsi="Times New Roman" w:cs="Times New Roman"/>
                <w:sz w:val="20"/>
                <w:szCs w:val="20"/>
              </w:rPr>
            </w:pPr>
            <w:r>
              <w:rPr>
                <w:rFonts w:ascii="Times New Roman" w:eastAsia="Times New Roman" w:hAnsi="Times New Roman" w:cs="Times New Roman"/>
                <w:b/>
                <w:color w:val="000000"/>
                <w:sz w:val="22"/>
                <w:szCs w:val="22"/>
              </w:rPr>
              <w:t>COMMENTO</w:t>
            </w:r>
          </w:p>
        </w:tc>
        <w:tc>
          <w:tcPr>
            <w:tcW w:w="990" w:type="dxa"/>
          </w:tcPr>
          <w:p w:rsidR="005758B5" w:rsidRDefault="005758B5" w:rsidP="00D31403">
            <w:pPr>
              <w:rPr>
                <w:rFonts w:ascii="Times New Roman" w:eastAsia="Times New Roman" w:hAnsi="Times New Roman" w:cs="Times New Roman"/>
                <w:sz w:val="20"/>
                <w:szCs w:val="20"/>
              </w:rPr>
            </w:pPr>
          </w:p>
        </w:tc>
      </w:tr>
      <w:tr w:rsidR="005758B5" w:rsidTr="00D31403">
        <w:trPr>
          <w:gridAfter w:val="1"/>
          <w:wAfter w:w="990" w:type="dxa"/>
          <w:trHeight w:val="1386"/>
        </w:trPr>
        <w:tc>
          <w:tcPr>
            <w:tcW w:w="285" w:type="dxa"/>
            <w:tcBorders>
              <w:top w:val="nil"/>
              <w:left w:val="nil"/>
              <w:bottom w:val="nil"/>
              <w:right w:val="nil"/>
            </w:tcBorders>
            <w:shd w:val="clear" w:color="auto" w:fill="auto"/>
            <w:vAlign w:val="bottom"/>
          </w:tcPr>
          <w:p w:rsidR="005758B5" w:rsidRDefault="005758B5" w:rsidP="00D31403">
            <w:pPr>
              <w:rPr>
                <w:rFonts w:ascii="Times New Roman" w:eastAsia="Times New Roman" w:hAnsi="Times New Roman" w:cs="Times New Roman"/>
                <w:sz w:val="20"/>
                <w:szCs w:val="20"/>
              </w:rPr>
            </w:pPr>
          </w:p>
        </w:tc>
        <w:tc>
          <w:tcPr>
            <w:tcW w:w="1440" w:type="dxa"/>
            <w:vMerge w:val="restart"/>
            <w:tcBorders>
              <w:top w:val="nil"/>
              <w:left w:val="single" w:sz="4" w:space="0" w:color="000000"/>
              <w:right w:val="single" w:sz="4" w:space="0" w:color="000000"/>
            </w:tcBorders>
            <w:shd w:val="clear" w:color="auto" w:fill="auto"/>
            <w:vAlign w:val="center"/>
          </w:tcPr>
          <w:p w:rsidR="005758B5" w:rsidRDefault="00C2519A" w:rsidP="00D31403">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Ex-ante</w:t>
            </w:r>
          </w:p>
          <w:p w:rsidR="005758B5" w:rsidRDefault="00C2519A" w:rsidP="00D31403">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w:t>
            </w:r>
          </w:p>
        </w:tc>
        <w:tc>
          <w:tcPr>
            <w:tcW w:w="495" w:type="dxa"/>
            <w:tcBorders>
              <w:top w:val="nil"/>
              <w:left w:val="nil"/>
              <w:bottom w:val="nil"/>
              <w:right w:val="single" w:sz="4" w:space="0" w:color="000000"/>
            </w:tcBorders>
            <w:shd w:val="clear" w:color="auto" w:fill="auto"/>
            <w:vAlign w:val="center"/>
          </w:tcPr>
          <w:p w:rsidR="005758B5" w:rsidRDefault="00C2519A" w:rsidP="00D31403">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1</w:t>
            </w:r>
          </w:p>
        </w:tc>
        <w:tc>
          <w:tcPr>
            <w:tcW w:w="7020" w:type="dxa"/>
            <w:tcBorders>
              <w:top w:val="nil"/>
              <w:left w:val="nil"/>
              <w:bottom w:val="single" w:sz="4" w:space="0" w:color="000000"/>
              <w:right w:val="single" w:sz="4" w:space="0" w:color="000000"/>
            </w:tcBorders>
            <w:shd w:val="clear" w:color="auto" w:fill="auto"/>
            <w:vAlign w:val="center"/>
          </w:tcPr>
          <w:p w:rsidR="005758B5" w:rsidRDefault="00C2519A" w:rsidP="00D31403">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È confermato che dagli investimenti in ricerca e innovazione (R&amp;I), sono escluse ex-ante le attività dedicate alla ricerca e innovazione cosiddetta “</w:t>
            </w:r>
            <w:proofErr w:type="spellStart"/>
            <w:r>
              <w:rPr>
                <w:rFonts w:ascii="Times New Roman" w:eastAsia="Times New Roman" w:hAnsi="Times New Roman" w:cs="Times New Roman"/>
                <w:color w:val="000000"/>
                <w:sz w:val="22"/>
                <w:szCs w:val="22"/>
              </w:rPr>
              <w:t>brown</w:t>
            </w:r>
            <w:proofErr w:type="spellEnd"/>
            <w:r>
              <w:rPr>
                <w:rFonts w:ascii="Times New Roman" w:eastAsia="Times New Roman" w:hAnsi="Times New Roman" w:cs="Times New Roman"/>
                <w:color w:val="000000"/>
                <w:sz w:val="22"/>
                <w:szCs w:val="22"/>
              </w:rPr>
              <w:t xml:space="preserve"> R&amp;I” che riguarda ad esempio fonti fossili, gas naturali esclusi dall’Allegato III degli Orientamenti tecnici sull’applicazione del principio “non arrecare un danno significativo”, inceneritori, trattamento biologico meccanico e discariche etc., così come specificato nella scheda tecnica </w:t>
            </w:r>
          </w:p>
        </w:tc>
        <w:tc>
          <w:tcPr>
            <w:tcW w:w="1335" w:type="dxa"/>
            <w:tcBorders>
              <w:top w:val="nil"/>
              <w:left w:val="nil"/>
              <w:bottom w:val="single" w:sz="4" w:space="0" w:color="000000"/>
              <w:right w:val="single" w:sz="4" w:space="0" w:color="000000"/>
            </w:tcBorders>
            <w:shd w:val="clear" w:color="auto" w:fill="auto"/>
            <w:vAlign w:val="center"/>
          </w:tcPr>
          <w:p w:rsidR="005758B5" w:rsidRDefault="00C2519A" w:rsidP="00D31403">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w:t>
            </w:r>
          </w:p>
        </w:tc>
        <w:tc>
          <w:tcPr>
            <w:tcW w:w="3600" w:type="dxa"/>
            <w:tcBorders>
              <w:top w:val="nil"/>
              <w:left w:val="nil"/>
              <w:bottom w:val="single" w:sz="4" w:space="0" w:color="000000"/>
              <w:right w:val="single" w:sz="4" w:space="0" w:color="000000"/>
            </w:tcBorders>
            <w:shd w:val="clear" w:color="auto" w:fill="auto"/>
            <w:vAlign w:val="center"/>
          </w:tcPr>
          <w:p w:rsidR="005758B5" w:rsidRDefault="00C2519A" w:rsidP="00D31403">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w:t>
            </w:r>
          </w:p>
        </w:tc>
      </w:tr>
      <w:tr w:rsidR="005758B5" w:rsidTr="00D31403">
        <w:trPr>
          <w:gridAfter w:val="1"/>
          <w:wAfter w:w="990" w:type="dxa"/>
          <w:trHeight w:val="536"/>
        </w:trPr>
        <w:tc>
          <w:tcPr>
            <w:tcW w:w="285" w:type="dxa"/>
            <w:tcBorders>
              <w:top w:val="nil"/>
              <w:left w:val="nil"/>
              <w:bottom w:val="nil"/>
              <w:right w:val="nil"/>
            </w:tcBorders>
            <w:shd w:val="clear" w:color="auto" w:fill="auto"/>
            <w:vAlign w:val="bottom"/>
          </w:tcPr>
          <w:p w:rsidR="005758B5" w:rsidRDefault="005758B5" w:rsidP="00D31403">
            <w:pPr>
              <w:jc w:val="center"/>
              <w:rPr>
                <w:rFonts w:ascii="Calibri" w:eastAsia="Calibri" w:hAnsi="Calibri" w:cs="Calibri"/>
                <w:b/>
                <w:color w:val="000000"/>
                <w:sz w:val="22"/>
                <w:szCs w:val="22"/>
              </w:rPr>
            </w:pPr>
          </w:p>
        </w:tc>
        <w:tc>
          <w:tcPr>
            <w:tcW w:w="1440" w:type="dxa"/>
            <w:vMerge/>
            <w:tcBorders>
              <w:top w:val="nil"/>
              <w:left w:val="single" w:sz="4" w:space="0" w:color="000000"/>
              <w:right w:val="single" w:sz="4" w:space="0" w:color="000000"/>
            </w:tcBorders>
            <w:shd w:val="clear" w:color="auto" w:fill="auto"/>
            <w:vAlign w:val="center"/>
          </w:tcPr>
          <w:p w:rsidR="005758B5" w:rsidRDefault="005758B5" w:rsidP="00D31403">
            <w:pPr>
              <w:widowControl w:val="0"/>
              <w:pBdr>
                <w:top w:val="nil"/>
                <w:left w:val="nil"/>
                <w:bottom w:val="nil"/>
                <w:right w:val="nil"/>
                <w:between w:val="nil"/>
              </w:pBdr>
              <w:spacing w:line="276" w:lineRule="auto"/>
              <w:rPr>
                <w:rFonts w:ascii="Calibri" w:eastAsia="Calibri" w:hAnsi="Calibri" w:cs="Calibri"/>
                <w:b/>
                <w:color w:val="000000"/>
                <w:sz w:val="22"/>
                <w:szCs w:val="22"/>
              </w:rPr>
            </w:pPr>
          </w:p>
        </w:tc>
        <w:tc>
          <w:tcPr>
            <w:tcW w:w="495" w:type="dxa"/>
            <w:tcBorders>
              <w:top w:val="nil"/>
              <w:left w:val="nil"/>
              <w:bottom w:val="nil"/>
              <w:right w:val="single" w:sz="4" w:space="0" w:color="000000"/>
            </w:tcBorders>
            <w:shd w:val="clear" w:color="auto" w:fill="auto"/>
            <w:vAlign w:val="center"/>
          </w:tcPr>
          <w:p w:rsidR="005758B5" w:rsidRDefault="00C2519A" w:rsidP="00D31403">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7020" w:type="dxa"/>
            <w:tcBorders>
              <w:top w:val="nil"/>
              <w:left w:val="nil"/>
              <w:bottom w:val="single" w:sz="4" w:space="0" w:color="000000"/>
              <w:right w:val="single" w:sz="4" w:space="0" w:color="000000"/>
            </w:tcBorders>
            <w:shd w:val="clear" w:color="auto" w:fill="auto"/>
            <w:vAlign w:val="center"/>
          </w:tcPr>
          <w:p w:rsidR="005758B5" w:rsidRDefault="00C2519A" w:rsidP="00D31403">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È confermato che le attività finanziate non rientrino tra quelle escluse, così come definite nella relativa scheda tecnica *</w:t>
            </w:r>
          </w:p>
        </w:tc>
        <w:tc>
          <w:tcPr>
            <w:tcW w:w="1335" w:type="dxa"/>
            <w:tcBorders>
              <w:top w:val="nil"/>
              <w:left w:val="nil"/>
              <w:bottom w:val="single" w:sz="4" w:space="0" w:color="000000"/>
              <w:right w:val="single" w:sz="4" w:space="0" w:color="000000"/>
            </w:tcBorders>
            <w:shd w:val="clear" w:color="auto" w:fill="auto"/>
            <w:vAlign w:val="center"/>
          </w:tcPr>
          <w:p w:rsidR="005758B5" w:rsidRDefault="00C2519A" w:rsidP="00D31403">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3600" w:type="dxa"/>
            <w:tcBorders>
              <w:top w:val="nil"/>
              <w:left w:val="nil"/>
              <w:bottom w:val="single" w:sz="4" w:space="0" w:color="000000"/>
              <w:right w:val="single" w:sz="4" w:space="0" w:color="000000"/>
            </w:tcBorders>
            <w:shd w:val="clear" w:color="auto" w:fill="auto"/>
            <w:vAlign w:val="center"/>
          </w:tcPr>
          <w:p w:rsidR="005758B5" w:rsidRDefault="00C2519A" w:rsidP="00D31403">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r>
      <w:tr w:rsidR="005758B5" w:rsidTr="00D31403">
        <w:trPr>
          <w:gridAfter w:val="1"/>
          <w:wAfter w:w="990" w:type="dxa"/>
          <w:trHeight w:val="677"/>
        </w:trPr>
        <w:tc>
          <w:tcPr>
            <w:tcW w:w="285" w:type="dxa"/>
            <w:tcBorders>
              <w:top w:val="nil"/>
              <w:left w:val="nil"/>
              <w:bottom w:val="nil"/>
              <w:right w:val="nil"/>
            </w:tcBorders>
            <w:shd w:val="clear" w:color="auto" w:fill="auto"/>
            <w:vAlign w:val="center"/>
          </w:tcPr>
          <w:p w:rsidR="005758B5" w:rsidRDefault="005758B5" w:rsidP="00D31403">
            <w:pPr>
              <w:rPr>
                <w:rFonts w:ascii="Calibri" w:eastAsia="Calibri" w:hAnsi="Calibri" w:cs="Calibri"/>
                <w:color w:val="000000"/>
                <w:sz w:val="22"/>
                <w:szCs w:val="22"/>
              </w:rPr>
            </w:pPr>
          </w:p>
        </w:tc>
        <w:tc>
          <w:tcPr>
            <w:tcW w:w="1440" w:type="dxa"/>
            <w:vMerge/>
            <w:tcBorders>
              <w:top w:val="nil"/>
              <w:left w:val="single" w:sz="4" w:space="0" w:color="000000"/>
              <w:right w:val="single" w:sz="4" w:space="0" w:color="000000"/>
            </w:tcBorders>
            <w:shd w:val="clear" w:color="auto" w:fill="auto"/>
            <w:vAlign w:val="center"/>
          </w:tcPr>
          <w:p w:rsidR="005758B5" w:rsidRDefault="005758B5" w:rsidP="00D31403">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495" w:type="dxa"/>
            <w:tcBorders>
              <w:top w:val="nil"/>
              <w:left w:val="nil"/>
              <w:bottom w:val="nil"/>
              <w:right w:val="single" w:sz="4" w:space="0" w:color="000000"/>
            </w:tcBorders>
            <w:shd w:val="clear" w:color="auto" w:fill="auto"/>
            <w:vAlign w:val="center"/>
          </w:tcPr>
          <w:p w:rsidR="005758B5" w:rsidRDefault="00C2519A" w:rsidP="00D31403">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7020" w:type="dxa"/>
            <w:tcBorders>
              <w:top w:val="nil"/>
              <w:left w:val="nil"/>
              <w:bottom w:val="single" w:sz="4" w:space="0" w:color="000000"/>
              <w:right w:val="single" w:sz="4" w:space="0" w:color="000000"/>
            </w:tcBorders>
            <w:shd w:val="clear" w:color="auto" w:fill="auto"/>
            <w:vAlign w:val="center"/>
          </w:tcPr>
          <w:p w:rsidR="005758B5" w:rsidRDefault="00C2519A" w:rsidP="00D31403">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Gli investimenti in attività di ricerca e innovazione sono rivolti a ricerche il cui risultato è neutrale tecnologicamente ** (</w:t>
            </w:r>
            <w:proofErr w:type="spellStart"/>
            <w:r>
              <w:rPr>
                <w:rFonts w:ascii="Times New Roman" w:eastAsia="Times New Roman" w:hAnsi="Times New Roman" w:cs="Times New Roman"/>
                <w:color w:val="000000"/>
                <w:sz w:val="22"/>
                <w:szCs w:val="22"/>
              </w:rPr>
              <w:t>technological</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neutrality</w:t>
            </w:r>
            <w:proofErr w:type="spellEnd"/>
            <w:r>
              <w:rPr>
                <w:rFonts w:ascii="Times New Roman" w:eastAsia="Times New Roman" w:hAnsi="Times New Roman" w:cs="Times New Roman"/>
                <w:color w:val="000000"/>
                <w:sz w:val="22"/>
                <w:szCs w:val="22"/>
              </w:rPr>
              <w:t>) nella sua applicazione?</w:t>
            </w:r>
          </w:p>
        </w:tc>
        <w:tc>
          <w:tcPr>
            <w:tcW w:w="1335" w:type="dxa"/>
            <w:tcBorders>
              <w:top w:val="nil"/>
              <w:left w:val="nil"/>
              <w:bottom w:val="single" w:sz="4" w:space="0" w:color="000000"/>
              <w:right w:val="single" w:sz="4" w:space="0" w:color="000000"/>
            </w:tcBorders>
            <w:shd w:val="clear" w:color="auto" w:fill="auto"/>
            <w:vAlign w:val="center"/>
          </w:tcPr>
          <w:p w:rsidR="005758B5" w:rsidRDefault="00C2519A" w:rsidP="00D31403">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3600" w:type="dxa"/>
            <w:tcBorders>
              <w:top w:val="nil"/>
              <w:left w:val="nil"/>
              <w:bottom w:val="single" w:sz="4" w:space="0" w:color="000000"/>
              <w:right w:val="single" w:sz="4" w:space="0" w:color="000000"/>
            </w:tcBorders>
            <w:shd w:val="clear" w:color="auto" w:fill="auto"/>
            <w:vAlign w:val="center"/>
          </w:tcPr>
          <w:p w:rsidR="005758B5" w:rsidRDefault="00C2519A" w:rsidP="00D31403">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r>
      <w:tr w:rsidR="005758B5" w:rsidTr="00D31403">
        <w:trPr>
          <w:gridAfter w:val="1"/>
          <w:wAfter w:w="990" w:type="dxa"/>
          <w:trHeight w:val="144"/>
        </w:trPr>
        <w:tc>
          <w:tcPr>
            <w:tcW w:w="285" w:type="dxa"/>
            <w:tcBorders>
              <w:top w:val="nil"/>
              <w:left w:val="nil"/>
              <w:bottom w:val="nil"/>
              <w:right w:val="nil"/>
            </w:tcBorders>
            <w:shd w:val="clear" w:color="auto" w:fill="auto"/>
            <w:vAlign w:val="bottom"/>
          </w:tcPr>
          <w:p w:rsidR="005758B5" w:rsidRDefault="005758B5" w:rsidP="00D31403">
            <w:pPr>
              <w:rPr>
                <w:rFonts w:ascii="Calibri" w:eastAsia="Calibri" w:hAnsi="Calibri" w:cs="Calibri"/>
                <w:color w:val="000000"/>
                <w:sz w:val="22"/>
                <w:szCs w:val="22"/>
              </w:rPr>
            </w:pPr>
          </w:p>
        </w:tc>
        <w:tc>
          <w:tcPr>
            <w:tcW w:w="1440" w:type="dxa"/>
            <w:vMerge/>
            <w:tcBorders>
              <w:top w:val="nil"/>
              <w:left w:val="single" w:sz="4" w:space="0" w:color="000000"/>
              <w:bottom w:val="single" w:sz="4" w:space="0" w:color="000000"/>
              <w:right w:val="single" w:sz="4" w:space="0" w:color="000000"/>
            </w:tcBorders>
            <w:shd w:val="clear" w:color="auto" w:fill="auto"/>
            <w:vAlign w:val="center"/>
          </w:tcPr>
          <w:p w:rsidR="005758B5" w:rsidRDefault="005758B5" w:rsidP="00D31403">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495" w:type="dxa"/>
            <w:tcBorders>
              <w:top w:val="single" w:sz="4" w:space="0" w:color="000000"/>
              <w:left w:val="nil"/>
              <w:bottom w:val="single" w:sz="4" w:space="0" w:color="000000"/>
              <w:right w:val="single" w:sz="4" w:space="0" w:color="000000"/>
            </w:tcBorders>
            <w:shd w:val="clear" w:color="auto" w:fill="7F7F7F"/>
            <w:vAlign w:val="center"/>
          </w:tcPr>
          <w:p w:rsidR="005758B5" w:rsidRDefault="00C2519A" w:rsidP="00D31403">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7020" w:type="dxa"/>
            <w:tcBorders>
              <w:top w:val="nil"/>
              <w:left w:val="nil"/>
              <w:bottom w:val="single" w:sz="4" w:space="0" w:color="000000"/>
              <w:right w:val="single" w:sz="4" w:space="0" w:color="000000"/>
            </w:tcBorders>
            <w:shd w:val="clear" w:color="auto" w:fill="7F7F7F"/>
            <w:vAlign w:val="center"/>
          </w:tcPr>
          <w:p w:rsidR="005758B5" w:rsidRDefault="00C2519A" w:rsidP="00D31403">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335" w:type="dxa"/>
            <w:tcBorders>
              <w:top w:val="nil"/>
              <w:left w:val="nil"/>
              <w:bottom w:val="single" w:sz="4" w:space="0" w:color="000000"/>
              <w:right w:val="single" w:sz="4" w:space="0" w:color="000000"/>
            </w:tcBorders>
            <w:shd w:val="clear" w:color="auto" w:fill="7F7F7F"/>
            <w:vAlign w:val="center"/>
          </w:tcPr>
          <w:p w:rsidR="005758B5" w:rsidRDefault="00C2519A" w:rsidP="00D31403">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3600" w:type="dxa"/>
            <w:tcBorders>
              <w:top w:val="nil"/>
              <w:left w:val="nil"/>
              <w:bottom w:val="single" w:sz="4" w:space="0" w:color="000000"/>
              <w:right w:val="single" w:sz="4" w:space="0" w:color="000000"/>
            </w:tcBorders>
            <w:shd w:val="clear" w:color="auto" w:fill="7F7F7F"/>
            <w:vAlign w:val="center"/>
          </w:tcPr>
          <w:p w:rsidR="005758B5" w:rsidRDefault="00C2519A" w:rsidP="00D31403">
            <w:pP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w:t>
            </w:r>
          </w:p>
        </w:tc>
      </w:tr>
      <w:tr w:rsidR="005758B5" w:rsidTr="00D31403">
        <w:trPr>
          <w:gridAfter w:val="1"/>
          <w:wAfter w:w="990" w:type="dxa"/>
          <w:trHeight w:val="300"/>
        </w:trPr>
        <w:tc>
          <w:tcPr>
            <w:tcW w:w="285" w:type="dxa"/>
            <w:tcBorders>
              <w:top w:val="nil"/>
              <w:left w:val="nil"/>
              <w:bottom w:val="nil"/>
              <w:right w:val="nil"/>
            </w:tcBorders>
            <w:shd w:val="clear" w:color="auto" w:fill="auto"/>
            <w:vAlign w:val="bottom"/>
          </w:tcPr>
          <w:p w:rsidR="005758B5" w:rsidRDefault="005758B5" w:rsidP="00D31403">
            <w:pPr>
              <w:rPr>
                <w:rFonts w:ascii="Calibri" w:eastAsia="Calibri" w:hAnsi="Calibri" w:cs="Calibri"/>
                <w:color w:val="000000"/>
                <w:sz w:val="22"/>
                <w:szCs w:val="22"/>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758B5" w:rsidRDefault="005758B5" w:rsidP="00D31403">
            <w:pPr>
              <w:jc w:val="center"/>
              <w:rPr>
                <w:rFonts w:ascii="Times New Roman" w:eastAsia="Times New Roman" w:hAnsi="Times New Roman" w:cs="Times New Roman"/>
                <w:sz w:val="22"/>
                <w:szCs w:val="22"/>
              </w:rPr>
            </w:pPr>
          </w:p>
          <w:p w:rsidR="005758B5" w:rsidRDefault="00C2519A" w:rsidP="00D31403">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Ex-post</w:t>
            </w:r>
          </w:p>
        </w:tc>
        <w:tc>
          <w:tcPr>
            <w:tcW w:w="495" w:type="dxa"/>
            <w:tcBorders>
              <w:top w:val="nil"/>
              <w:left w:val="nil"/>
              <w:bottom w:val="single" w:sz="4" w:space="0" w:color="000000"/>
              <w:right w:val="single" w:sz="4" w:space="0" w:color="000000"/>
            </w:tcBorders>
            <w:shd w:val="clear" w:color="auto" w:fill="auto"/>
            <w:vAlign w:val="center"/>
          </w:tcPr>
          <w:p w:rsidR="005758B5" w:rsidRDefault="00C2519A" w:rsidP="00D31403">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c>
          <w:tcPr>
            <w:tcW w:w="7020" w:type="dxa"/>
            <w:tcBorders>
              <w:top w:val="nil"/>
              <w:left w:val="nil"/>
              <w:bottom w:val="single" w:sz="4" w:space="0" w:color="000000"/>
              <w:right w:val="single" w:sz="4" w:space="0" w:color="000000"/>
            </w:tcBorders>
            <w:shd w:val="clear" w:color="auto" w:fill="auto"/>
            <w:vAlign w:val="center"/>
          </w:tcPr>
          <w:p w:rsidR="005758B5" w:rsidRDefault="00C2519A" w:rsidP="00D31403">
            <w:pPr>
              <w:rPr>
                <w:rFonts w:ascii="Times New Roman" w:eastAsia="Times New Roman" w:hAnsi="Times New Roman" w:cs="Times New Roman"/>
                <w:sz w:val="22"/>
                <w:szCs w:val="22"/>
              </w:rPr>
            </w:pPr>
            <w:r>
              <w:rPr>
                <w:rFonts w:ascii="Times New Roman" w:eastAsia="Times New Roman" w:hAnsi="Times New Roman" w:cs="Times New Roman"/>
                <w:sz w:val="22"/>
                <w:szCs w:val="22"/>
              </w:rPr>
              <w:t>I criteri oggetto di verifica sono monitorati nel corso del tempo e sono stati mantenuti rispetto a quelli stabiliti ex ante?</w:t>
            </w:r>
          </w:p>
        </w:tc>
        <w:tc>
          <w:tcPr>
            <w:tcW w:w="1335" w:type="dxa"/>
            <w:tcBorders>
              <w:top w:val="nil"/>
              <w:left w:val="nil"/>
              <w:bottom w:val="single" w:sz="4" w:space="0" w:color="000000"/>
              <w:right w:val="single" w:sz="4" w:space="0" w:color="000000"/>
            </w:tcBorders>
            <w:shd w:val="clear" w:color="auto" w:fill="auto"/>
            <w:vAlign w:val="center"/>
          </w:tcPr>
          <w:p w:rsidR="005758B5" w:rsidRDefault="00C2519A" w:rsidP="00D31403">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3600" w:type="dxa"/>
            <w:tcBorders>
              <w:top w:val="nil"/>
              <w:left w:val="nil"/>
              <w:bottom w:val="single" w:sz="4" w:space="0" w:color="000000"/>
              <w:right w:val="single" w:sz="4" w:space="0" w:color="000000"/>
            </w:tcBorders>
            <w:shd w:val="clear" w:color="auto" w:fill="auto"/>
            <w:vAlign w:val="center"/>
          </w:tcPr>
          <w:p w:rsidR="005758B5" w:rsidRDefault="00C2519A" w:rsidP="00D31403">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w:t>
            </w:r>
          </w:p>
        </w:tc>
      </w:tr>
      <w:tr w:rsidR="005758B5" w:rsidTr="00D31403">
        <w:trPr>
          <w:gridAfter w:val="1"/>
          <w:wAfter w:w="990" w:type="dxa"/>
          <w:trHeight w:val="566"/>
        </w:trPr>
        <w:tc>
          <w:tcPr>
            <w:tcW w:w="285" w:type="dxa"/>
            <w:tcBorders>
              <w:top w:val="nil"/>
              <w:left w:val="nil"/>
              <w:bottom w:val="nil"/>
              <w:right w:val="nil"/>
            </w:tcBorders>
            <w:shd w:val="clear" w:color="auto" w:fill="auto"/>
            <w:vAlign w:val="bottom"/>
          </w:tcPr>
          <w:p w:rsidR="005758B5" w:rsidRDefault="005758B5" w:rsidP="00D31403">
            <w:pPr>
              <w:rPr>
                <w:rFonts w:ascii="Calibri" w:eastAsia="Calibri" w:hAnsi="Calibri" w:cs="Calibri"/>
                <w:color w:val="000000"/>
                <w:sz w:val="22"/>
                <w:szCs w:val="22"/>
              </w:rPr>
            </w:pPr>
          </w:p>
        </w:tc>
        <w:tc>
          <w:tcPr>
            <w:tcW w:w="1440" w:type="dxa"/>
            <w:vMerge/>
            <w:tcBorders>
              <w:top w:val="nil"/>
              <w:left w:val="single" w:sz="4" w:space="0" w:color="000000"/>
              <w:bottom w:val="single" w:sz="4" w:space="0" w:color="000000"/>
              <w:right w:val="single" w:sz="4" w:space="0" w:color="000000"/>
            </w:tcBorders>
            <w:shd w:val="clear" w:color="auto" w:fill="auto"/>
            <w:vAlign w:val="center"/>
          </w:tcPr>
          <w:p w:rsidR="005758B5" w:rsidRDefault="005758B5" w:rsidP="00D31403">
            <w:pPr>
              <w:jc w:val="center"/>
              <w:rPr>
                <w:rFonts w:ascii="Times New Roman" w:eastAsia="Times New Roman" w:hAnsi="Times New Roman" w:cs="Times New Roman"/>
                <w:color w:val="000000"/>
                <w:sz w:val="22"/>
                <w:szCs w:val="22"/>
              </w:rPr>
            </w:pPr>
          </w:p>
        </w:tc>
        <w:tc>
          <w:tcPr>
            <w:tcW w:w="495" w:type="dxa"/>
            <w:tcBorders>
              <w:top w:val="nil"/>
              <w:left w:val="nil"/>
              <w:bottom w:val="single" w:sz="4" w:space="0" w:color="000000"/>
              <w:right w:val="single" w:sz="4" w:space="0" w:color="000000"/>
            </w:tcBorders>
            <w:shd w:val="clear" w:color="auto" w:fill="auto"/>
            <w:vAlign w:val="center"/>
          </w:tcPr>
          <w:p w:rsidR="005758B5" w:rsidRDefault="00C2519A" w:rsidP="00D31403">
            <w:pPr>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5</w:t>
            </w:r>
          </w:p>
        </w:tc>
        <w:tc>
          <w:tcPr>
            <w:tcW w:w="7020" w:type="dxa"/>
            <w:tcBorders>
              <w:top w:val="nil"/>
              <w:left w:val="nil"/>
              <w:bottom w:val="single" w:sz="4" w:space="0" w:color="000000"/>
              <w:right w:val="single" w:sz="4" w:space="0" w:color="000000"/>
            </w:tcBorders>
            <w:shd w:val="clear" w:color="auto" w:fill="auto"/>
            <w:vAlign w:val="center"/>
          </w:tcPr>
          <w:p w:rsidR="005758B5" w:rsidRDefault="00C2519A" w:rsidP="00D31403">
            <w:pPr>
              <w:rPr>
                <w:rFonts w:ascii="Times New Roman" w:eastAsia="Times New Roman" w:hAnsi="Times New Roman" w:cs="Times New Roman"/>
                <w:sz w:val="22"/>
                <w:szCs w:val="22"/>
              </w:rPr>
            </w:pPr>
            <w:r>
              <w:rPr>
                <w:rFonts w:ascii="Times New Roman" w:eastAsia="Times New Roman" w:hAnsi="Times New Roman" w:cs="Times New Roman"/>
                <w:sz w:val="22"/>
                <w:szCs w:val="22"/>
              </w:rPr>
              <w:t>Se i criteri oggetto di verifica non sono stati rispettati, sono state adottate misure di mitigazione? Quali?</w:t>
            </w:r>
          </w:p>
        </w:tc>
        <w:tc>
          <w:tcPr>
            <w:tcW w:w="1335" w:type="dxa"/>
            <w:tcBorders>
              <w:top w:val="nil"/>
              <w:left w:val="nil"/>
              <w:bottom w:val="single" w:sz="4" w:space="0" w:color="000000"/>
              <w:right w:val="single" w:sz="4" w:space="0" w:color="000000"/>
            </w:tcBorders>
            <w:shd w:val="clear" w:color="auto" w:fill="auto"/>
            <w:vAlign w:val="center"/>
          </w:tcPr>
          <w:p w:rsidR="005758B5" w:rsidRDefault="005758B5" w:rsidP="00D31403">
            <w:pPr>
              <w:jc w:val="center"/>
              <w:rPr>
                <w:rFonts w:ascii="Times New Roman" w:eastAsia="Times New Roman" w:hAnsi="Times New Roman" w:cs="Times New Roman"/>
                <w:color w:val="000000"/>
                <w:sz w:val="22"/>
                <w:szCs w:val="22"/>
              </w:rPr>
            </w:pPr>
          </w:p>
        </w:tc>
        <w:tc>
          <w:tcPr>
            <w:tcW w:w="3600" w:type="dxa"/>
            <w:tcBorders>
              <w:top w:val="nil"/>
              <w:left w:val="nil"/>
              <w:bottom w:val="single" w:sz="4" w:space="0" w:color="000000"/>
              <w:right w:val="single" w:sz="4" w:space="0" w:color="000000"/>
            </w:tcBorders>
            <w:shd w:val="clear" w:color="auto" w:fill="auto"/>
            <w:vAlign w:val="center"/>
          </w:tcPr>
          <w:p w:rsidR="005758B5" w:rsidRDefault="005758B5" w:rsidP="00D31403">
            <w:pPr>
              <w:jc w:val="center"/>
              <w:rPr>
                <w:rFonts w:ascii="Times New Roman" w:eastAsia="Times New Roman" w:hAnsi="Times New Roman" w:cs="Times New Roman"/>
                <w:color w:val="000000"/>
                <w:sz w:val="22"/>
                <w:szCs w:val="22"/>
              </w:rPr>
            </w:pPr>
          </w:p>
        </w:tc>
      </w:tr>
      <w:tr w:rsidR="005758B5" w:rsidTr="00D31403">
        <w:trPr>
          <w:gridAfter w:val="6"/>
          <w:wAfter w:w="14880" w:type="dxa"/>
          <w:trHeight w:val="1245"/>
        </w:trPr>
        <w:tc>
          <w:tcPr>
            <w:tcW w:w="285" w:type="dxa"/>
            <w:tcBorders>
              <w:top w:val="nil"/>
              <w:left w:val="nil"/>
              <w:bottom w:val="nil"/>
              <w:right w:val="nil"/>
            </w:tcBorders>
            <w:shd w:val="clear" w:color="auto" w:fill="auto"/>
            <w:vAlign w:val="bottom"/>
          </w:tcPr>
          <w:p w:rsidR="005758B5" w:rsidRDefault="005758B5" w:rsidP="00D31403">
            <w:pPr>
              <w:jc w:val="center"/>
              <w:rPr>
                <w:rFonts w:ascii="Calibri" w:eastAsia="Calibri" w:hAnsi="Calibri" w:cs="Calibri"/>
                <w:b/>
                <w:color w:val="000000"/>
                <w:sz w:val="22"/>
                <w:szCs w:val="22"/>
              </w:rPr>
            </w:pPr>
          </w:p>
        </w:tc>
      </w:tr>
    </w:tbl>
    <w:p w:rsidR="005758B5" w:rsidRDefault="00D31403">
      <w:pPr>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br w:type="textWrapping" w:clear="all"/>
      </w:r>
      <w:r w:rsidR="00C2519A">
        <w:rPr>
          <w:rFonts w:ascii="Times New Roman" w:eastAsia="Times New Roman" w:hAnsi="Times New Roman" w:cs="Times New Roman"/>
          <w:b/>
          <w:color w:val="000000"/>
          <w:sz w:val="22"/>
          <w:szCs w:val="22"/>
        </w:rPr>
        <w:t xml:space="preserve">NOTE </w:t>
      </w:r>
    </w:p>
    <w:p w:rsidR="005758B5" w:rsidRDefault="005758B5">
      <w:pPr>
        <w:jc w:val="both"/>
        <w:rPr>
          <w:rFonts w:ascii="Times New Roman" w:eastAsia="Times New Roman" w:hAnsi="Times New Roman" w:cs="Times New Roman"/>
          <w:b/>
          <w:sz w:val="22"/>
          <w:szCs w:val="22"/>
        </w:rPr>
      </w:pPr>
    </w:p>
    <w:p w:rsidR="005758B5" w:rsidRDefault="00C2519A">
      <w:pPr>
        <w:jc w:val="both"/>
        <w:rPr>
          <w:rFonts w:ascii="Times New Roman" w:eastAsia="Times New Roman" w:hAnsi="Times New Roman" w:cs="Times New Roman"/>
          <w:color w:val="000000"/>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color w:val="000000"/>
          <w:sz w:val="22"/>
          <w:szCs w:val="22"/>
        </w:rPr>
        <w:t xml:space="preserve">1. attività e asset connessi ai combustibili fossili, compreso l'uso a valle </w:t>
      </w: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Ad eccezione dei progetti previsti nell’ambito della presente misura riguardanti la produzione di energia elettrica e/o di calore a partire dal gas naturale, come pure le relative infrastrutture di trasmissione/trasporto e distribuzione che utilizzano gas naturale, che sono conformi alle condizioni di cui all’allegato III degli  orientamenti tecnici sull’applicazione del principio “non arrecare un danno significativo” (2021/C58/01)</w:t>
      </w:r>
      <w:r>
        <w:rPr>
          <w:rFonts w:ascii="Times New Roman" w:eastAsia="Times New Roman" w:hAnsi="Times New Roman" w:cs="Times New Roman"/>
          <w:color w:val="000000"/>
          <w:sz w:val="22"/>
          <w:szCs w:val="22"/>
        </w:rPr>
        <w:t>];</w:t>
      </w:r>
    </w:p>
    <w:p w:rsidR="005758B5" w:rsidRDefault="00C2519A">
      <w:pP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2. attività nell'ambito del sistema di scambio di quote di emissione dell'UE (ETS) che generano emissioni di gas a effetto serra previste non inferiori ai pertinenti parametri di riferimento </w:t>
      </w: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(2021/447 della Commissione.)</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br/>
      </w:r>
      <w:r>
        <w:rPr>
          <w:rFonts w:ascii="Times New Roman" w:eastAsia="Times New Roman" w:hAnsi="Times New Roman" w:cs="Times New Roman"/>
          <w:b/>
          <w:color w:val="000000"/>
          <w:sz w:val="22"/>
          <w:szCs w:val="22"/>
        </w:rPr>
        <w:t>3. attività connesse alle discariche di rifiuti, agli inceneritori</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i/>
          <w:color w:val="000000"/>
          <w:sz w:val="22"/>
          <w:szCs w:val="22"/>
        </w:rPr>
        <w:t>L’esclusione non si applica alle azioni previste nell’ambito della presente misura in impianti esclusivamente adibiti al trattamento di rifiuti pericolosi non riciclabili, né agli impianti esistenti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sono fornite prove a livello di impianto</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e agli impianti di trattamento meccanico biologico</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i/>
          <w:color w:val="000000"/>
          <w:sz w:val="22"/>
          <w:szCs w:val="22"/>
        </w:rPr>
        <w:t>L’esclusione non si applica alle azioni previste dalla presente misura negli impianti di trattamento meccanico biologico esistenti quando tali azioni sono intese ad aumentare l’efficienza energetica o migliorare le operazioni di riciclaggio dei rifiuti differenziati al fine di convertirle nel compostaggio e nella digestione anaerobica di rifiuti organici, purché tali azioni nell’ambito della presente misura non determinino un aumento della capacità di trattamento dei rifiuti dell’impianto o un’estensione della sua durata di vita; sono fornite prove a livello di impianto.</w:t>
      </w:r>
      <w:r>
        <w:rPr>
          <w:rFonts w:ascii="Times New Roman" w:eastAsia="Times New Roman" w:hAnsi="Times New Roman" w:cs="Times New Roman"/>
          <w:color w:val="000000"/>
          <w:sz w:val="22"/>
          <w:szCs w:val="22"/>
        </w:rPr>
        <w:t>].</w:t>
      </w:r>
    </w:p>
    <w:p w:rsidR="005758B5" w:rsidRDefault="005758B5">
      <w:pPr>
        <w:jc w:val="both"/>
        <w:rPr>
          <w:rFonts w:ascii="Times New Roman" w:eastAsia="Times New Roman" w:hAnsi="Times New Roman" w:cs="Times New Roman"/>
          <w:sz w:val="22"/>
          <w:szCs w:val="22"/>
        </w:rPr>
      </w:pPr>
    </w:p>
    <w:p w:rsidR="005758B5" w:rsidRDefault="00C2519A">
      <w:pPr>
        <w:rPr>
          <w:rFonts w:ascii="Times New Roman" w:eastAsia="Times New Roman" w:hAnsi="Times New Roman" w:cs="Times New Roman"/>
          <w:sz w:val="22"/>
          <w:szCs w:val="22"/>
        </w:rPr>
      </w:pPr>
      <w:r>
        <w:rPr>
          <w:rFonts w:ascii="Times New Roman" w:eastAsia="Times New Roman" w:hAnsi="Times New Roman" w:cs="Times New Roman"/>
          <w:sz w:val="22"/>
          <w:szCs w:val="22"/>
        </w:rPr>
        <w:t>** Il risultato dei processi di ricerca può essere applicato a tutte le tecnologie disponibili, incluse quelle a basso impatto ambientale.</w:t>
      </w:r>
    </w:p>
    <w:sectPr w:rsidR="005758B5">
      <w:headerReference w:type="default" r:id="rId7"/>
      <w:footerReference w:type="default" r:id="rId8"/>
      <w:headerReference w:type="first" r:id="rId9"/>
      <w:pgSz w:w="16838" w:h="11906" w:orient="landscape"/>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8BD" w:rsidRDefault="005B48BD">
      <w:r>
        <w:separator/>
      </w:r>
    </w:p>
  </w:endnote>
  <w:endnote w:type="continuationSeparator" w:id="0">
    <w:p w:rsidR="005B48BD" w:rsidRDefault="005B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B5" w:rsidRDefault="00C2519A">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8BD" w:rsidRDefault="005B48BD">
      <w:r>
        <w:separator/>
      </w:r>
    </w:p>
  </w:footnote>
  <w:footnote w:type="continuationSeparator" w:id="0">
    <w:p w:rsidR="005B48BD" w:rsidRDefault="005B4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B5" w:rsidRDefault="005758B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0"/>
      <w:tblW w:w="13678" w:type="dxa"/>
      <w:tblInd w:w="0" w:type="dxa"/>
      <w:tblLayout w:type="fixed"/>
      <w:tblLook w:val="0000" w:firstRow="0" w:lastRow="0" w:firstColumn="0" w:lastColumn="0" w:noHBand="0" w:noVBand="0"/>
    </w:tblPr>
    <w:tblGrid>
      <w:gridCol w:w="13678"/>
    </w:tblGrid>
    <w:tr w:rsidR="005758B5">
      <w:trPr>
        <w:trHeight w:val="436"/>
      </w:trPr>
      <w:tc>
        <w:tcPr>
          <w:tcW w:w="13678" w:type="dxa"/>
          <w:tcBorders>
            <w:top w:val="nil"/>
            <w:left w:val="nil"/>
            <w:bottom w:val="nil"/>
            <w:right w:val="nil"/>
          </w:tcBorders>
        </w:tcPr>
        <w:p w:rsidR="005758B5" w:rsidRDefault="00C2519A" w:rsidP="00D85373">
          <w:pPr>
            <w:pBdr>
              <w:top w:val="nil"/>
              <w:left w:val="nil"/>
              <w:bottom w:val="nil"/>
              <w:right w:val="nil"/>
              <w:between w:val="nil"/>
            </w:pBdr>
            <w:tabs>
              <w:tab w:val="center" w:pos="4819"/>
              <w:tab w:val="right" w:pos="9638"/>
              <w:tab w:val="right" w:pos="12616"/>
            </w:tabs>
            <w:rPr>
              <w:rFonts w:ascii="Times New Roman" w:eastAsia="Times New Roman" w:hAnsi="Times New Roman" w:cs="Times New Roman"/>
              <w:i/>
              <w:color w:val="000000"/>
            </w:rPr>
          </w:pPr>
          <w:r>
            <w:rPr>
              <w:rFonts w:ascii="Times New Roman" w:eastAsia="Times New Roman" w:hAnsi="Times New Roman" w:cs="Times New Roman"/>
              <w:color w:val="000000"/>
              <w:sz w:val="32"/>
              <w:szCs w:val="32"/>
            </w:rPr>
            <w:t xml:space="preserve">Allegato B al Decreto n.   </w:t>
          </w:r>
          <w:r w:rsidR="00D85373">
            <w:rPr>
              <w:rFonts w:ascii="Times New Roman" w:eastAsia="Times New Roman" w:hAnsi="Times New Roman" w:cs="Times New Roman"/>
              <w:color w:val="000000"/>
              <w:sz w:val="32"/>
              <w:szCs w:val="32"/>
            </w:rPr>
            <w:t>48</w:t>
          </w:r>
          <w:r>
            <w:rPr>
              <w:rFonts w:ascii="Times New Roman" w:eastAsia="Times New Roman" w:hAnsi="Times New Roman" w:cs="Times New Roman"/>
              <w:color w:val="000000"/>
              <w:sz w:val="32"/>
              <w:szCs w:val="32"/>
            </w:rPr>
            <w:t xml:space="preserve">            del              </w:t>
          </w:r>
          <w:r w:rsidR="00D85373">
            <w:rPr>
              <w:rFonts w:ascii="Times New Roman" w:eastAsia="Times New Roman" w:hAnsi="Times New Roman" w:cs="Times New Roman"/>
              <w:color w:val="000000"/>
              <w:sz w:val="32"/>
              <w:szCs w:val="32"/>
            </w:rPr>
            <w:t>10 OTT. 2024</w:t>
          </w: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85373">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D85373">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tc>
    </w:tr>
  </w:tbl>
  <w:p w:rsidR="005758B5" w:rsidRDefault="005758B5">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B5" w:rsidRDefault="005758B5">
    <w:pPr>
      <w:widowControl w:val="0"/>
      <w:pBdr>
        <w:top w:val="nil"/>
        <w:left w:val="nil"/>
        <w:bottom w:val="nil"/>
        <w:right w:val="nil"/>
        <w:between w:val="nil"/>
      </w:pBdr>
      <w:spacing w:line="276" w:lineRule="auto"/>
      <w:rPr>
        <w:color w:val="000000"/>
      </w:rPr>
    </w:pPr>
  </w:p>
  <w:tbl>
    <w:tblPr>
      <w:tblStyle w:val="a1"/>
      <w:tblW w:w="14570" w:type="dxa"/>
      <w:tblInd w:w="0" w:type="dxa"/>
      <w:tblLayout w:type="fixed"/>
      <w:tblLook w:val="0000" w:firstRow="0" w:lastRow="0" w:firstColumn="0" w:lastColumn="0" w:noHBand="0" w:noVBand="0"/>
    </w:tblPr>
    <w:tblGrid>
      <w:gridCol w:w="14570"/>
    </w:tblGrid>
    <w:tr w:rsidR="005758B5">
      <w:trPr>
        <w:trHeight w:val="1283"/>
      </w:trPr>
      <w:tc>
        <w:tcPr>
          <w:tcW w:w="14570" w:type="dxa"/>
          <w:tcBorders>
            <w:top w:val="nil"/>
            <w:left w:val="nil"/>
            <w:bottom w:val="nil"/>
            <w:right w:val="nil"/>
          </w:tcBorders>
        </w:tcPr>
        <w:p w:rsidR="005758B5" w:rsidRDefault="00C2519A">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extent cx="2066290" cy="26225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66290" cy="262255"/>
                        </a:xfrm>
                        <a:prstGeom prst="rect">
                          <a:avLst/>
                        </a:prstGeom>
                        <a:ln/>
                      </pic:spPr>
                    </pic:pic>
                  </a:graphicData>
                </a:graphic>
              </wp:inline>
            </w:drawing>
          </w:r>
        </w:p>
        <w:p w:rsidR="005758B5" w:rsidRDefault="00C2519A">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giunta regionale</w:t>
          </w:r>
        </w:p>
        <w:p w:rsidR="005758B5" w:rsidRDefault="005758B5">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20"/>
              <w:szCs w:val="20"/>
            </w:rPr>
          </w:pPr>
        </w:p>
        <w:p w:rsidR="005758B5" w:rsidRDefault="00C2519A" w:rsidP="00D85373">
          <w:pPr>
            <w:pBdr>
              <w:top w:val="nil"/>
              <w:left w:val="nil"/>
              <w:bottom w:val="nil"/>
              <w:right w:val="nil"/>
              <w:between w:val="nil"/>
            </w:pBdr>
            <w:tabs>
              <w:tab w:val="center" w:pos="4819"/>
              <w:tab w:val="right" w:pos="9638"/>
            </w:tabs>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 xml:space="preserve">Allegato B al Decreto n. </w:t>
          </w:r>
          <w:r w:rsidR="00D85373">
            <w:rPr>
              <w:rFonts w:ascii="Times New Roman" w:eastAsia="Times New Roman" w:hAnsi="Times New Roman" w:cs="Times New Roman"/>
              <w:b/>
              <w:color w:val="000000"/>
              <w:sz w:val="28"/>
              <w:szCs w:val="28"/>
            </w:rPr>
            <w:t xml:space="preserve">  48</w:t>
          </w:r>
          <w:r>
            <w:rPr>
              <w:rFonts w:ascii="Times New Roman" w:eastAsia="Times New Roman" w:hAnsi="Times New Roman" w:cs="Times New Roman"/>
              <w:b/>
              <w:color w:val="000000"/>
              <w:sz w:val="28"/>
              <w:szCs w:val="28"/>
            </w:rPr>
            <w:t xml:space="preserve">                           del           </w:t>
          </w:r>
          <w:r w:rsidR="00D85373">
            <w:rPr>
              <w:rFonts w:ascii="Times New Roman" w:eastAsia="Times New Roman" w:hAnsi="Times New Roman" w:cs="Times New Roman"/>
              <w:b/>
              <w:color w:val="000000"/>
              <w:sz w:val="28"/>
              <w:szCs w:val="28"/>
            </w:rPr>
            <w:t>10 OTT. 2024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D85373">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D85373">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tc>
    </w:tr>
  </w:tbl>
  <w:p w:rsidR="005758B5" w:rsidRDefault="005758B5">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8B5"/>
    <w:rsid w:val="005758B5"/>
    <w:rsid w:val="005B48BD"/>
    <w:rsid w:val="00C2519A"/>
    <w:rsid w:val="00D31403"/>
    <w:rsid w:val="00D853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6876"/>
  <w15:docId w15:val="{07473755-922F-4401-8171-63ABD539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pPr>
      <w:keepNext/>
      <w:outlineLvl w:val="0"/>
    </w:pPr>
    <w:rPr>
      <w:sz w:val="40"/>
      <w:szCs w:val="40"/>
    </w:rPr>
  </w:style>
  <w:style w:type="paragraph" w:styleId="Titolo2">
    <w:name w:val="heading 2"/>
    <w:basedOn w:val="Normale"/>
    <w:next w:val="Normale"/>
    <w:link w:val="Titolo2Carattere"/>
    <w:uiPriority w:val="9"/>
    <w:semiHidden/>
    <w:unhideWhenUsed/>
    <w:qFormat/>
    <w:pPr>
      <w:keepNext/>
      <w:outlineLvl w:val="1"/>
    </w:pPr>
    <w:rPr>
      <w:sz w:val="52"/>
      <w:szCs w:val="52"/>
    </w:rPr>
  </w:style>
  <w:style w:type="paragraph" w:styleId="Titolo3">
    <w:name w:val="heading 3"/>
    <w:basedOn w:val="Normale"/>
    <w:next w:val="Normale"/>
    <w:link w:val="Titolo3Carattere"/>
    <w:uiPriority w:val="9"/>
    <w:semiHidden/>
    <w:unhideWhenUsed/>
    <w:qFormat/>
    <w:pPr>
      <w:keepNext/>
      <w:jc w:val="center"/>
      <w:outlineLvl w:val="2"/>
    </w:pPr>
    <w:rPr>
      <w:b/>
      <w:bCs/>
      <w:sz w:val="18"/>
      <w:szCs w:val="18"/>
    </w:rPr>
  </w:style>
  <w:style w:type="paragraph" w:styleId="Titolo4">
    <w:name w:val="heading 4"/>
    <w:basedOn w:val="Normale"/>
    <w:next w:val="Normale"/>
    <w:link w:val="Titolo4Carattere"/>
    <w:uiPriority w:val="9"/>
    <w:semiHidden/>
    <w:unhideWhenUsed/>
    <w:qFormat/>
    <w:pPr>
      <w:keepNext/>
      <w:jc w:val="both"/>
      <w:outlineLvl w:val="3"/>
    </w:pPr>
    <w:rPr>
      <w:b/>
      <w:bCs/>
    </w:rPr>
  </w:style>
  <w:style w:type="paragraph" w:styleId="Titolo5">
    <w:name w:val="heading 5"/>
    <w:basedOn w:val="Normale"/>
    <w:next w:val="Normale"/>
    <w:link w:val="Titolo5Carattere"/>
    <w:uiPriority w:val="9"/>
    <w:semiHidden/>
    <w:unhideWhenUsed/>
    <w:qFormat/>
    <w:pPr>
      <w:keepNext/>
      <w:jc w:val="both"/>
      <w:outlineLvl w:val="4"/>
    </w:pPr>
    <w:rPr>
      <w:b/>
      <w:bCs/>
      <w:sz w:val="28"/>
      <w:szCs w:val="28"/>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basedOn w:val="Carpredefinitoparagrafo"/>
    <w:link w:val="Titolo1"/>
    <w:uiPriority w:val="9"/>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semiHidden/>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uiPriority w:val="9"/>
    <w:semiHidden/>
    <w:rPr>
      <w:rFonts w:ascii="Cambria" w:eastAsia="Times New Roman" w:hAnsi="Cambria"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character" w:customStyle="1" w:styleId="Titolo5Carattere">
    <w:name w:val="Titolo 5 Carattere"/>
    <w:basedOn w:val="Carpredefinitoparagrafo"/>
    <w:link w:val="Titolo5"/>
    <w:uiPriority w:val="9"/>
    <w:semiHidden/>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pPr>
      <w:ind w:right="-143"/>
      <w:jc w:val="both"/>
    </w:pPr>
  </w:style>
  <w:style w:type="character" w:customStyle="1" w:styleId="Corpodeltesto2Carattere">
    <w:name w:val="Corpo del testo 2 Carattere"/>
    <w:basedOn w:val="Carpredefinitoparagrafo"/>
    <w:link w:val="Corpodeltesto2"/>
    <w:uiPriority w:val="99"/>
    <w:semiHidden/>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ascii="Bookman Old Style" w:hAnsi="Bookman Old Style" w:cs="Bookman Old Style"/>
    </w:rPr>
  </w:style>
  <w:style w:type="character" w:customStyle="1" w:styleId="Rientrocorpodeltesto2Carattere">
    <w:name w:val="Rientro corpo del testo 2 Carattere"/>
    <w:basedOn w:val="Carpredefinitoparagrafo"/>
    <w:link w:val="Rientrocorpodeltesto2"/>
    <w:uiPriority w:val="99"/>
    <w:semiHidden/>
    <w:rPr>
      <w:rFonts w:ascii="Arial" w:hAnsi="Arial" w:cs="Arial"/>
      <w:sz w:val="24"/>
      <w:szCs w:val="24"/>
    </w:rPr>
  </w:style>
  <w:style w:type="paragraph" w:customStyle="1" w:styleId="Corpodeltesto">
    <w:name w:val="Corpo del testo"/>
    <w:basedOn w:val="Normale"/>
    <w:link w:val="CorpodeltestoCarattere"/>
    <w:uiPriority w:val="99"/>
    <w:pPr>
      <w:jc w:val="both"/>
    </w:pPr>
    <w:rPr>
      <w:rFonts w:ascii="Bookman Old Style" w:hAnsi="Bookman Old Style" w:cs="Bookman Old Style"/>
    </w:rPr>
  </w:style>
  <w:style w:type="character" w:customStyle="1" w:styleId="CorpodeltestoCarattere">
    <w:name w:val="Corpo del testo Carattere"/>
    <w:basedOn w:val="Carpredefinitoparagrafo"/>
    <w:link w:val="Corpodel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ascii="Bookman Old Style" w:hAnsi="Bookman Old Style" w:cs="Bookman Old Style"/>
    </w:rPr>
  </w:style>
  <w:style w:type="character" w:customStyle="1" w:styleId="Rientrocorpodeltesto3Carattere">
    <w:name w:val="Rientro corpo del testo 3 Carattere"/>
    <w:basedOn w:val="Carpredefinitoparagrafo"/>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rFonts w:ascii="Arial" w:hAnsi="Arial" w:cs="Arial"/>
      <w:sz w:val="24"/>
      <w:szCs w:val="24"/>
    </w:rPr>
  </w:style>
  <w:style w:type="character" w:styleId="Numeropagina">
    <w:name w:val="page number"/>
    <w:basedOn w:val="Carpredefinitoparagrafo"/>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rPr>
      <w:rFonts w:ascii="Arial" w:hAnsi="Arial" w:cs="Arial"/>
      <w:sz w:val="24"/>
      <w:szCs w:val="24"/>
    </w:rPr>
  </w:style>
  <w:style w:type="paragraph" w:styleId="Paragrafoelenco">
    <w:name w:val="List Paragraph"/>
    <w:basedOn w:val="Normale"/>
    <w:uiPriority w:val="34"/>
    <w:qFormat/>
    <w:rsid w:val="003A2FBB"/>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hy+wE6OBRAjxpxN0wQ+b5Nonog==">CgMxLjAyCGguZ2pkZ3hzOABqJgoUc3VnZ2VzdC5oYWxvcnZqZGJyNWwSDlBhdHJpemlhIFJlZGRpaiYKFHN1Z2dlc3QuOWZ3YnNmM2pxOGNkEg5QYXRyaXppYSBSZWRkaWolChNzdWdnZXN0Lm9mcHhqZ2Jud3A0Eg5QYXRyaXppYSBSZWRkaWomChRzdWdnZXN0LnB0ODAzNWhtMnhuZxIOUGF0cml6aWEgUmVkZGlqJQoTc3VnZ2VzdC56cjJrZmRsYmExehIOUGF0cml6aWEgUmVkZGlyITEwZ3NBa1p6N1R1Q3J5UTBaN21WQ2F4Sjh6bTZ1c1Q4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642</Words>
  <Characters>3663</Characters>
  <Application>Microsoft Office Word</Application>
  <DocSecurity>0</DocSecurity>
  <Lines>30</Lines>
  <Paragraphs>8</Paragraphs>
  <ScaleCrop>false</ScaleCrop>
  <Company>Regione del Veneto</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Tommaso Dalla Palma</cp:lastModifiedBy>
  <cp:revision>3</cp:revision>
  <dcterms:created xsi:type="dcterms:W3CDTF">2024-09-20T07:36:00Z</dcterms:created>
  <dcterms:modified xsi:type="dcterms:W3CDTF">2024-10-11T06:47:00Z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11100.0000000000</vt:lpwstr>
  </property>
</Properties>
</file>