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1DFBC" w14:textId="29A06399" w:rsidR="008F0BF8" w:rsidRDefault="008F0BF8" w:rsidP="008F0BF8">
      <w:pPr>
        <w:rPr>
          <w:b/>
        </w:rPr>
      </w:pPr>
      <w:r>
        <w:rPr>
          <w:b/>
        </w:rPr>
        <w:t xml:space="preserve">Allegato A </w:t>
      </w:r>
      <w:r w:rsidR="00951BDE">
        <w:rPr>
          <w:b/>
        </w:rPr>
        <w:t>Bando</w:t>
      </w:r>
    </w:p>
    <w:p w14:paraId="1C1CB9E7" w14:textId="3EDB2471" w:rsidR="006B3F0B" w:rsidRPr="006B3F0B" w:rsidRDefault="004270DE" w:rsidP="006B3F0B">
      <w:pPr>
        <w:jc w:val="center"/>
        <w:rPr>
          <w:b/>
        </w:rPr>
      </w:pPr>
      <w:r w:rsidRPr="006B3F0B">
        <w:rPr>
          <w:b/>
        </w:rPr>
        <w:t>BANDO</w:t>
      </w:r>
    </w:p>
    <w:p w14:paraId="1514A6C4" w14:textId="77777777" w:rsidR="006B3F0B" w:rsidRDefault="006B3F0B" w:rsidP="006B3F0B">
      <w:pPr>
        <w:jc w:val="center"/>
        <w:rPr>
          <w:b/>
        </w:rPr>
      </w:pPr>
      <w:r w:rsidRPr="006B3F0B">
        <w:rPr>
          <w:b/>
        </w:rPr>
        <w:t>–</w:t>
      </w:r>
      <w:r w:rsidR="004270DE" w:rsidRPr="006B3F0B">
        <w:rPr>
          <w:b/>
        </w:rPr>
        <w:t xml:space="preserve"> </w:t>
      </w:r>
      <w:r w:rsidRPr="006B3F0B">
        <w:rPr>
          <w:b/>
        </w:rPr>
        <w:t xml:space="preserve">PROCEDURE E CRITERI </w:t>
      </w:r>
      <w:r w:rsidR="00E9125E">
        <w:rPr>
          <w:b/>
        </w:rPr>
        <w:t>–</w:t>
      </w:r>
    </w:p>
    <w:p w14:paraId="544E6A7E" w14:textId="77777777" w:rsidR="00D424AB" w:rsidRDefault="00D424AB" w:rsidP="006B3F0B">
      <w:pPr>
        <w:jc w:val="center"/>
        <w:rPr>
          <w:b/>
        </w:rPr>
      </w:pPr>
    </w:p>
    <w:p w14:paraId="5F5853F1" w14:textId="423FA4D5" w:rsidR="004270DE" w:rsidRDefault="00B0485E" w:rsidP="001D5C13">
      <w:pPr>
        <w:jc w:val="center"/>
        <w:rPr>
          <w:i/>
        </w:rPr>
      </w:pPr>
      <w:r w:rsidRPr="001D5C13">
        <w:rPr>
          <w:i/>
        </w:rPr>
        <w:t>Sostegno finanziario a favore di opere di miglioria, anche strutturale, di impianti sportivi</w:t>
      </w:r>
      <w:r w:rsidR="00941D5C">
        <w:rPr>
          <w:i/>
        </w:rPr>
        <w:t xml:space="preserve"> </w:t>
      </w:r>
      <w:r w:rsidR="007E226A" w:rsidRPr="007E226A">
        <w:rPr>
          <w:i/>
        </w:rPr>
        <w:t>– Approvazione Bando anno 2024</w:t>
      </w:r>
      <w:r w:rsidRPr="001D5C13">
        <w:rPr>
          <w:i/>
        </w:rPr>
        <w:t xml:space="preserve">. (L.R. n. 8/2015, </w:t>
      </w:r>
      <w:r w:rsidR="003E3911">
        <w:rPr>
          <w:i/>
        </w:rPr>
        <w:t xml:space="preserve">art. </w:t>
      </w:r>
      <w:r w:rsidRPr="001D5C13">
        <w:rPr>
          <w:i/>
        </w:rPr>
        <w:t>11).</w:t>
      </w:r>
    </w:p>
    <w:p w14:paraId="5A991B2B" w14:textId="77777777" w:rsidR="00D424AB" w:rsidRDefault="00D424AB" w:rsidP="001D5C13">
      <w:pPr>
        <w:jc w:val="center"/>
        <w:rPr>
          <w:i/>
        </w:rPr>
      </w:pPr>
    </w:p>
    <w:p w14:paraId="3EB41990" w14:textId="49CD947F" w:rsidR="00316F2C" w:rsidRDefault="004270DE" w:rsidP="00935B8C">
      <w:pPr>
        <w:jc w:val="both"/>
      </w:pPr>
      <w:proofErr w:type="gramStart"/>
      <w:r>
        <w:t>E’</w:t>
      </w:r>
      <w:proofErr w:type="gramEnd"/>
      <w:r>
        <w:t xml:space="preserve"> previsto </w:t>
      </w:r>
      <w:r w:rsidR="00C247D2">
        <w:t xml:space="preserve">l’utilizzo di  </w:t>
      </w:r>
      <w:r w:rsidR="005553B9">
        <w:t xml:space="preserve"> </w:t>
      </w:r>
      <w:r w:rsidR="00941D5C">
        <w:t>8</w:t>
      </w:r>
      <w:r w:rsidR="007E226A">
        <w:t xml:space="preserve"> Milioni</w:t>
      </w:r>
      <w:r w:rsidR="00DF73BF">
        <w:t xml:space="preserve"> di Euro </w:t>
      </w:r>
      <w:r w:rsidR="007E226A">
        <w:t xml:space="preserve"> </w:t>
      </w:r>
      <w:r w:rsidR="00B0485E">
        <w:t xml:space="preserve"> </w:t>
      </w:r>
      <w:r w:rsidR="00316F2C">
        <w:t>per finanziare, con il presente Bando, i soli soggetti di cui all'art. 10, comma 2, lettera a), della L.R. n. 8/2015 ed ammettere a finanziamento interventi secondo quanto disposto dall'art. 10, comma 1, lettera a) della L.R. n. 8/</w:t>
      </w:r>
      <w:r w:rsidR="00316F2C" w:rsidRPr="00935B8C">
        <w:t>2015</w:t>
      </w:r>
      <w:r w:rsidR="00935B8C" w:rsidRPr="00935B8C">
        <w:t>.</w:t>
      </w:r>
      <w:r>
        <w:t xml:space="preserve"> </w:t>
      </w:r>
      <w:r w:rsidR="00202431" w:rsidRPr="00935B8C">
        <w:t xml:space="preserve">I beneficiari verranno individuati con successivo provvedimento di Giunta Regionale, </w:t>
      </w:r>
      <w:r w:rsidR="00B0485E" w:rsidRPr="00935B8C">
        <w:t>contenente altresì</w:t>
      </w:r>
      <w:r w:rsidR="00B0485E">
        <w:t xml:space="preserve"> una graduatoria che potrà essere utilizzata per l’assegnazione di</w:t>
      </w:r>
      <w:r w:rsidR="00DF73BF">
        <w:t xml:space="preserve"> ulteriori</w:t>
      </w:r>
      <w:r w:rsidR="00B0485E">
        <w:t xml:space="preserve"> contributi</w:t>
      </w:r>
      <w:r w:rsidR="00DF73BF">
        <w:t>, nel caso di disponibilità economiche successive.</w:t>
      </w:r>
    </w:p>
    <w:p w14:paraId="1E457418" w14:textId="77777777" w:rsidR="00084508" w:rsidRDefault="00B0485E" w:rsidP="00935B8C">
      <w:pPr>
        <w:jc w:val="both"/>
      </w:pPr>
      <w:r>
        <w:t xml:space="preserve">A seguito della ricezione delle istanze, verrà redatta una graduatoria, con i criteri in seguito descritti. </w:t>
      </w:r>
    </w:p>
    <w:p w14:paraId="69837AD5" w14:textId="77777777" w:rsidR="00084508" w:rsidRDefault="00B0485E" w:rsidP="00935B8C">
      <w:pPr>
        <w:jc w:val="both"/>
        <w:rPr>
          <w:u w:val="single"/>
        </w:rPr>
      </w:pPr>
      <w:r w:rsidRPr="00202431">
        <w:rPr>
          <w:u w:val="single"/>
        </w:rPr>
        <w:t>Soggetti ammessi a presentare domande</w:t>
      </w:r>
      <w:r w:rsidR="003D0CD7">
        <w:rPr>
          <w:u w:val="single"/>
        </w:rPr>
        <w:t>:</w:t>
      </w:r>
      <w:r w:rsidRPr="00202431">
        <w:rPr>
          <w:u w:val="single"/>
        </w:rPr>
        <w:t xml:space="preserve"> </w:t>
      </w:r>
    </w:p>
    <w:p w14:paraId="740C2D78" w14:textId="0F7801D9" w:rsidR="003D0CD7" w:rsidRDefault="00B0485E" w:rsidP="00DF73BF">
      <w:pPr>
        <w:jc w:val="both"/>
      </w:pPr>
      <w:r>
        <w:t>Sono ammessi a presentare istanza i soggetti di cui all’art.10, comma 2, lettera a) della L.R. n. 8/2015 (ent</w:t>
      </w:r>
      <w:r w:rsidR="00DF73BF">
        <w:t xml:space="preserve">i </w:t>
      </w:r>
      <w:r>
        <w:t>pubblici territoriali, nonché le loro associazioni, unioni,</w:t>
      </w:r>
      <w:r w:rsidR="003D0CD7">
        <w:t xml:space="preserve"> consorzi, comunque denominati) proprietari di impianti </w:t>
      </w:r>
      <w:r w:rsidR="004750F3" w:rsidRPr="009C4E23">
        <w:t>s</w:t>
      </w:r>
      <w:r w:rsidR="003D0CD7" w:rsidRPr="009C4E23">
        <w:t>portivi</w:t>
      </w:r>
      <w:r w:rsidR="00052347">
        <w:t xml:space="preserve"> o titolari di un diritto reale o di godimento per almeno anni 4, ai sensi della DGR 1219/2019.  </w:t>
      </w:r>
      <w:r w:rsidR="008F0BF8" w:rsidRPr="009C4E23">
        <w:t xml:space="preserve">Ai sensi dell’art. 2 comma 1 lett. d) del D. Lgs n. 38/2021 per “impianto sportivo” si intende: </w:t>
      </w:r>
      <w:r w:rsidR="008F0BF8" w:rsidRPr="009C4E23">
        <w:br/>
      </w:r>
      <w:r w:rsidR="003D0CD7" w:rsidRPr="009C4E23">
        <w:rPr>
          <w:i/>
        </w:rPr>
        <w:t>la struttura, all’aperto o al chiuso, preposta allo svolgimento di manifestazioni sportive, comprensiva di uno o più spazi di attività sportiva dello stesso tipo o di tipo diverso, nonché di eventuali zone spettatori, servizi accessori e di supporto”</w:t>
      </w:r>
      <w:r w:rsidR="003D0CD7" w:rsidRPr="009C4E23">
        <w:t>.</w:t>
      </w:r>
    </w:p>
    <w:p w14:paraId="12394A9C" w14:textId="4557B6F9" w:rsidR="003D0CD7" w:rsidRDefault="003D0CD7" w:rsidP="00935B8C">
      <w:pPr>
        <w:jc w:val="both"/>
      </w:pPr>
      <w:r w:rsidRPr="003D0CD7">
        <w:t>Sono ammessi a contributo anche interventi parziali (lotto funzionale) di un progetto complesso, a condizione che l’intervento realizzato sia funzionalmente autonomo ed efficiente indipendentemente dalla realizzazione delle altre parti del progetto generale.</w:t>
      </w:r>
      <w:r w:rsidR="009B5C26">
        <w:t xml:space="preserve"> </w:t>
      </w:r>
    </w:p>
    <w:p w14:paraId="3AEFF972" w14:textId="77777777" w:rsidR="00084508" w:rsidRPr="00202431" w:rsidRDefault="00B0485E" w:rsidP="00935B8C">
      <w:pPr>
        <w:jc w:val="both"/>
        <w:rPr>
          <w:u w:val="single"/>
        </w:rPr>
      </w:pPr>
      <w:r w:rsidRPr="00202431">
        <w:rPr>
          <w:u w:val="single"/>
        </w:rPr>
        <w:t xml:space="preserve">Presentazione delle domande </w:t>
      </w:r>
    </w:p>
    <w:p w14:paraId="01FB6A30" w14:textId="523F1D92" w:rsidR="002C51DA" w:rsidRDefault="00B0485E" w:rsidP="002C51DA">
      <w:pPr>
        <w:spacing w:after="120"/>
        <w:jc w:val="both"/>
        <w:rPr>
          <w:rFonts w:ascii="Times New Roman" w:eastAsia="Times New Roman" w:hAnsi="Times New Roman" w:cs="Times New Roman"/>
        </w:rPr>
      </w:pPr>
      <w:r w:rsidRPr="00941D5C">
        <w:t xml:space="preserve">• ciascun Soggetto può </w:t>
      </w:r>
      <w:r w:rsidRPr="004C5A92">
        <w:rPr>
          <w:rFonts w:cstheme="minorHAnsi"/>
        </w:rPr>
        <w:t xml:space="preserve">presentare </w:t>
      </w:r>
      <w:r w:rsidR="002314B6" w:rsidRPr="004C5A92">
        <w:rPr>
          <w:rFonts w:cstheme="minorHAnsi"/>
        </w:rPr>
        <w:t xml:space="preserve">una sola </w:t>
      </w:r>
      <w:r w:rsidRPr="004C5A92">
        <w:rPr>
          <w:rFonts w:cstheme="minorHAnsi"/>
        </w:rPr>
        <w:t>istanza</w:t>
      </w:r>
      <w:r w:rsidR="00941D5C" w:rsidRPr="004C5A92">
        <w:rPr>
          <w:rFonts w:cstheme="minorHAnsi"/>
        </w:rPr>
        <w:t xml:space="preserve">. </w:t>
      </w:r>
      <w:r w:rsidR="00487DD7" w:rsidRPr="004C5A92">
        <w:rPr>
          <w:rFonts w:cstheme="minorHAnsi"/>
        </w:rPr>
        <w:t xml:space="preserve"> I Comuni capoluogo o con numero di abitanti</w:t>
      </w:r>
      <w:r w:rsidR="004C5A92" w:rsidRPr="004C5A92">
        <w:rPr>
          <w:rFonts w:cstheme="minorHAnsi"/>
        </w:rPr>
        <w:t xml:space="preserve"> </w:t>
      </w:r>
      <w:r w:rsidR="00487DD7" w:rsidRPr="004C5A92">
        <w:rPr>
          <w:rFonts w:cstheme="minorHAnsi"/>
        </w:rPr>
        <w:t xml:space="preserve">superiore a </w:t>
      </w:r>
      <w:proofErr w:type="gramStart"/>
      <w:r w:rsidR="00487DD7" w:rsidRPr="004C5A92">
        <w:rPr>
          <w:rFonts w:cstheme="minorHAnsi"/>
        </w:rPr>
        <w:t>40.000  possono</w:t>
      </w:r>
      <w:proofErr w:type="gramEnd"/>
      <w:r w:rsidR="00487DD7" w:rsidRPr="004C5A92">
        <w:rPr>
          <w:rFonts w:cstheme="minorHAnsi"/>
        </w:rPr>
        <w:t xml:space="preserve"> presentare fino ad un massimo di 3 istanze pe</w:t>
      </w:r>
      <w:r w:rsidR="002C51DA" w:rsidRPr="004C5A92">
        <w:rPr>
          <w:rFonts w:cstheme="minorHAnsi"/>
        </w:rPr>
        <w:t>r altrettanti impianti</w:t>
      </w:r>
      <w:r w:rsidR="004C5A92">
        <w:rPr>
          <w:rFonts w:cstheme="minorHAnsi"/>
        </w:rPr>
        <w:t xml:space="preserve"> </w:t>
      </w:r>
      <w:r w:rsidR="002C51DA" w:rsidRPr="004C5A92">
        <w:rPr>
          <w:rFonts w:cstheme="minorHAnsi"/>
        </w:rPr>
        <w:t xml:space="preserve">sportivi, </w:t>
      </w:r>
      <w:r w:rsidR="002C51DA" w:rsidRPr="004C5A92">
        <w:rPr>
          <w:rFonts w:eastAsia="Times New Roman" w:cstheme="minorHAnsi"/>
        </w:rPr>
        <w:t xml:space="preserve"> dichiarando il numero dei cittadini residenti nel  Comune al 1° gennaio dell’anno precedente alla compilazione della domanda secondo dati Istat.</w:t>
      </w:r>
    </w:p>
    <w:p w14:paraId="23415BCA" w14:textId="055335F8" w:rsidR="00084508" w:rsidRPr="009C4E23" w:rsidRDefault="00084508" w:rsidP="00935B8C">
      <w:pPr>
        <w:jc w:val="both"/>
        <w:rPr>
          <w:color w:val="FF0000"/>
          <w:highlight w:val="yellow"/>
        </w:rPr>
      </w:pPr>
    </w:p>
    <w:p w14:paraId="2F9A8344" w14:textId="181470A9" w:rsidR="0075538A" w:rsidRDefault="00A00E64" w:rsidP="00935B8C">
      <w:pPr>
        <w:jc w:val="both"/>
      </w:pPr>
      <w:r>
        <w:t>•</w:t>
      </w:r>
      <w:r w:rsidR="002314B6">
        <w:t xml:space="preserve"> l’</w:t>
      </w:r>
      <w:r w:rsidR="00B0485E">
        <w:t>istanza va redatta unicamente, pena esclusione, sulla base del modello che costituisce l</w:t>
      </w:r>
      <w:r w:rsidR="00B0485E" w:rsidRPr="00202431">
        <w:rPr>
          <w:b/>
        </w:rPr>
        <w:t>’A</w:t>
      </w:r>
      <w:r w:rsidR="00316F2C" w:rsidRPr="00202431">
        <w:rPr>
          <w:b/>
        </w:rPr>
        <w:t>llegato A</w:t>
      </w:r>
      <w:r w:rsidR="00B853DC">
        <w:rPr>
          <w:b/>
        </w:rPr>
        <w:t>1</w:t>
      </w:r>
      <w:r w:rsidR="00316F2C" w:rsidRPr="00202431">
        <w:rPr>
          <w:b/>
        </w:rPr>
        <w:t xml:space="preserve"> </w:t>
      </w:r>
      <w:r w:rsidR="00316F2C" w:rsidRPr="00202431">
        <w:rPr>
          <w:i/>
        </w:rPr>
        <w:t>“Istanza ai fini del Bando</w:t>
      </w:r>
      <w:r w:rsidR="00B0485E" w:rsidRPr="00202431">
        <w:rPr>
          <w:i/>
        </w:rPr>
        <w:t xml:space="preserve"> per il finanziamento di opere </w:t>
      </w:r>
      <w:r w:rsidR="00B0485E" w:rsidRPr="00941D5C">
        <w:rPr>
          <w:i/>
        </w:rPr>
        <w:t>di miglioria, anche strutturale,</w:t>
      </w:r>
      <w:r w:rsidR="00B0485E" w:rsidRPr="00202431">
        <w:rPr>
          <w:i/>
        </w:rPr>
        <w:t xml:space="preserve"> di impianti sportivi </w:t>
      </w:r>
      <w:r w:rsidR="007E226A" w:rsidRPr="007E226A">
        <w:rPr>
          <w:i/>
        </w:rPr>
        <w:t>– Approvazione Bando anno 2024</w:t>
      </w:r>
      <w:r w:rsidR="00B0485E" w:rsidRPr="00202431">
        <w:rPr>
          <w:i/>
        </w:rPr>
        <w:t>”</w:t>
      </w:r>
      <w:r w:rsidR="00B0485E">
        <w:t xml:space="preserve"> che va compilato in ogni sua parte, completato con gli allegati previsti, firmato ed inviato in un unico file; </w:t>
      </w:r>
      <w:r w:rsidR="007E226A">
        <w:t xml:space="preserve"> </w:t>
      </w:r>
    </w:p>
    <w:p w14:paraId="55AA91F5" w14:textId="748034B6" w:rsidR="0075538A" w:rsidRDefault="0075538A" w:rsidP="00935B8C">
      <w:pPr>
        <w:jc w:val="both"/>
      </w:pPr>
      <w:r>
        <w:lastRenderedPageBreak/>
        <w:t xml:space="preserve">• </w:t>
      </w:r>
      <w:r w:rsidRPr="0075538A">
        <w:t>con la presentazione dell’istanza vengono accettate le disposizioni di cui all’</w:t>
      </w:r>
      <w:r w:rsidRPr="0075538A">
        <w:rPr>
          <w:b/>
        </w:rPr>
        <w:t xml:space="preserve">Allegato A2 </w:t>
      </w:r>
      <w:r w:rsidRPr="0075538A">
        <w:rPr>
          <w:i/>
        </w:rPr>
        <w:t>“Schema di direttiva regolante i rapporti tra la Regione del Veneto ed il beneficiario dei contributi regionali per la realizzazione di opere di miglioria, anche strutturale, di impianti sportivi</w:t>
      </w:r>
      <w:r w:rsidR="00941D5C">
        <w:rPr>
          <w:i/>
        </w:rPr>
        <w:t xml:space="preserve"> </w:t>
      </w:r>
      <w:r w:rsidR="007E226A" w:rsidRPr="007E226A">
        <w:rPr>
          <w:i/>
        </w:rPr>
        <w:t>– Approvazione Bando anno 2024</w:t>
      </w:r>
      <w:r w:rsidRPr="0075538A">
        <w:rPr>
          <w:i/>
        </w:rPr>
        <w:t>”;</w:t>
      </w:r>
      <w:r>
        <w:rPr>
          <w:i/>
        </w:rPr>
        <w:t xml:space="preserve"> </w:t>
      </w:r>
      <w:r w:rsidR="007E226A">
        <w:rPr>
          <w:i/>
        </w:rPr>
        <w:t xml:space="preserve"> </w:t>
      </w:r>
    </w:p>
    <w:p w14:paraId="0BAE3E12" w14:textId="569746D1" w:rsidR="00084508" w:rsidRDefault="00B0485E" w:rsidP="00935B8C">
      <w:pPr>
        <w:jc w:val="both"/>
      </w:pPr>
      <w:r>
        <w:t xml:space="preserve">• nel caso </w:t>
      </w:r>
      <w:r w:rsidRPr="00487DD7">
        <w:t>in cui l’istanz</w:t>
      </w:r>
      <w:r w:rsidR="00B946BA">
        <w:t>a</w:t>
      </w:r>
      <w:r w:rsidRPr="00487DD7">
        <w:t xml:space="preserve"> risulti</w:t>
      </w:r>
      <w:r>
        <w:t xml:space="preserve"> priva delle sottoscrizioni e/o degli allegati previsti, verrà esclusa</w:t>
      </w:r>
      <w:r w:rsidR="0019724F">
        <w:t xml:space="preserve"> </w:t>
      </w:r>
      <w:r>
        <w:t xml:space="preserve">dalla graduatoria; </w:t>
      </w:r>
    </w:p>
    <w:p w14:paraId="368FF8C1" w14:textId="11406DB2" w:rsidR="00084508" w:rsidRDefault="00B0485E" w:rsidP="00935B8C">
      <w:pPr>
        <w:jc w:val="both"/>
      </w:pPr>
      <w:r w:rsidRPr="00487DD7">
        <w:t xml:space="preserve">• l’istanza va riferita, pena esclusione, ad un unico </w:t>
      </w:r>
      <w:r w:rsidR="00AB735B" w:rsidRPr="00487DD7">
        <w:t xml:space="preserve">impianto sportivo o </w:t>
      </w:r>
      <w:r w:rsidRPr="00487DD7">
        <w:t>stralcio funzionale di intervento;</w:t>
      </w:r>
      <w:r>
        <w:t xml:space="preserve"> </w:t>
      </w:r>
    </w:p>
    <w:p w14:paraId="4C46D124" w14:textId="65B9EC60" w:rsidR="00084508" w:rsidRDefault="00B0485E" w:rsidP="00935B8C">
      <w:pPr>
        <w:jc w:val="both"/>
      </w:pPr>
      <w:r>
        <w:t>• l’istanza va riferita a</w:t>
      </w:r>
      <w:r w:rsidR="004C2862">
        <w:t xml:space="preserve">lla tipologia prevalente </w:t>
      </w:r>
      <w:r>
        <w:t xml:space="preserve">di opere ammissibili in seguito elencate. </w:t>
      </w:r>
    </w:p>
    <w:p w14:paraId="53D2216D" w14:textId="352E7211" w:rsidR="00084508" w:rsidRPr="003F1330" w:rsidRDefault="00B0485E" w:rsidP="00935B8C">
      <w:pPr>
        <w:jc w:val="both"/>
      </w:pPr>
      <w:r>
        <w:t xml:space="preserve">L’istanza va inoltrata, a pena di esclusione, </w:t>
      </w:r>
      <w:r w:rsidRPr="003F1330">
        <w:t xml:space="preserve">entro </w:t>
      </w:r>
      <w:r w:rsidR="00487DD7" w:rsidRPr="004C5A92">
        <w:t>45</w:t>
      </w:r>
      <w:r w:rsidRPr="00120757">
        <w:t xml:space="preserve"> </w:t>
      </w:r>
      <w:r w:rsidRPr="003F1330">
        <w:t>giorni dalla pubblicazione sul BUR del presente provvedimento, senza lettera accompa</w:t>
      </w:r>
      <w:r w:rsidR="00084508" w:rsidRPr="003F1330">
        <w:t xml:space="preserve">gnatoria, via </w:t>
      </w:r>
      <w:proofErr w:type="spellStart"/>
      <w:r w:rsidR="00084508" w:rsidRPr="003F1330">
        <w:t>pec</w:t>
      </w:r>
      <w:proofErr w:type="spellEnd"/>
      <w:r w:rsidR="00084508" w:rsidRPr="003F1330">
        <w:t xml:space="preserve"> all’indirizzo </w:t>
      </w:r>
      <w:r w:rsidR="00084508" w:rsidRPr="00487DD7">
        <w:rPr>
          <w:u w:val="single"/>
        </w:rPr>
        <w:t>LLPPedilizia</w:t>
      </w:r>
      <w:r w:rsidRPr="00487DD7">
        <w:rPr>
          <w:u w:val="single"/>
        </w:rPr>
        <w:t>@pec.regione.veneto.it, nonché via e</w:t>
      </w:r>
      <w:r w:rsidR="002B2FFD" w:rsidRPr="00487DD7">
        <w:rPr>
          <w:u w:val="single"/>
        </w:rPr>
        <w:t>-</w:t>
      </w:r>
      <w:r w:rsidRPr="00487DD7">
        <w:rPr>
          <w:u w:val="single"/>
        </w:rPr>
        <w:t>mail all’indirizzo impiantistica.sportiva@regione.veneto.it</w:t>
      </w:r>
      <w:r w:rsidRPr="003F1330">
        <w:t xml:space="preserve">; </w:t>
      </w:r>
    </w:p>
    <w:p w14:paraId="3F593A26" w14:textId="77777777" w:rsidR="00E37D91" w:rsidRDefault="00B0485E" w:rsidP="00935B8C">
      <w:pPr>
        <w:jc w:val="both"/>
      </w:pPr>
      <w:r w:rsidRPr="003F1330">
        <w:t xml:space="preserve">• L’oggetto della </w:t>
      </w:r>
      <w:proofErr w:type="spellStart"/>
      <w:r w:rsidRPr="003F1330">
        <w:t>pec</w:t>
      </w:r>
      <w:proofErr w:type="spellEnd"/>
      <w:r w:rsidRPr="003F1330">
        <w:t xml:space="preserve"> e della mail deve riportare la seguente dicitura: “UO LLPP - </w:t>
      </w:r>
      <w:r w:rsidR="00316F2C">
        <w:t>Bando</w:t>
      </w:r>
      <w:r w:rsidRPr="003F1330">
        <w:t xml:space="preserve"> per contributi impianti sportivi 20</w:t>
      </w:r>
      <w:r w:rsidR="00084508" w:rsidRPr="003F1330">
        <w:t>2</w:t>
      </w:r>
      <w:r w:rsidR="007E226A">
        <w:t>4</w:t>
      </w:r>
      <w:r w:rsidRPr="003F1330">
        <w:t xml:space="preserve">”; </w:t>
      </w:r>
    </w:p>
    <w:p w14:paraId="5D189EB1" w14:textId="43136C6A" w:rsidR="00084508" w:rsidRPr="003F1330" w:rsidRDefault="00B0485E" w:rsidP="00935B8C">
      <w:pPr>
        <w:jc w:val="both"/>
      </w:pPr>
      <w:r w:rsidRPr="003F1330">
        <w:t xml:space="preserve">• Per </w:t>
      </w:r>
      <w:proofErr w:type="gramStart"/>
      <w:r w:rsidRPr="003F1330">
        <w:t>informazioni</w:t>
      </w:r>
      <w:r w:rsidR="00692233">
        <w:t xml:space="preserve"> </w:t>
      </w:r>
      <w:r w:rsidRPr="003F1330">
        <w:t>:</w:t>
      </w:r>
      <w:proofErr w:type="gramEnd"/>
      <w:r w:rsidRPr="003F1330">
        <w:t xml:space="preserve"> tel. </w:t>
      </w:r>
      <w:r w:rsidRPr="00935B8C">
        <w:t>041</w:t>
      </w:r>
      <w:r w:rsidR="00DF73BF">
        <w:t>/2792658-2661-2119</w:t>
      </w:r>
      <w:r w:rsidRPr="003F1330">
        <w:t xml:space="preserve">; </w:t>
      </w:r>
    </w:p>
    <w:p w14:paraId="148CD2CE" w14:textId="7B1CA1FE" w:rsidR="00084508" w:rsidRPr="007516F9" w:rsidRDefault="00B0485E" w:rsidP="00935B8C">
      <w:pPr>
        <w:jc w:val="both"/>
      </w:pPr>
      <w:r w:rsidRPr="003F1330">
        <w:t xml:space="preserve">• Sono escluse le istanze presentate </w:t>
      </w:r>
      <w:r w:rsidR="00084508" w:rsidRPr="004C5A92">
        <w:t xml:space="preserve">oltre il </w:t>
      </w:r>
      <w:r w:rsidR="00487DD7" w:rsidRPr="004C5A92">
        <w:t>45</w:t>
      </w:r>
      <w:r w:rsidR="00084508" w:rsidRPr="00120757">
        <w:t xml:space="preserve"> </w:t>
      </w:r>
      <w:r w:rsidR="00084508" w:rsidRPr="003F1330">
        <w:t>giorno dalla pubblicazione</w:t>
      </w:r>
      <w:r w:rsidR="00084508">
        <w:t>,</w:t>
      </w:r>
      <w:r>
        <w:t xml:space="preserve"> e quelle inoltrate con modalità </w:t>
      </w:r>
      <w:r w:rsidRPr="007516F9">
        <w:t xml:space="preserve">diversa da quanto indicato; </w:t>
      </w:r>
    </w:p>
    <w:p w14:paraId="797FEEE4" w14:textId="20A81A5E" w:rsidR="009D2BAD" w:rsidRPr="007516F9" w:rsidRDefault="009D2BAD" w:rsidP="009D2BAD">
      <w:pPr>
        <w:jc w:val="both"/>
      </w:pPr>
      <w:r w:rsidRPr="007516F9">
        <w:t xml:space="preserve">Sono ammessi a contributo gli interventi relativi alla </w:t>
      </w:r>
      <w:r w:rsidR="00352E26" w:rsidRPr="007516F9">
        <w:t xml:space="preserve">realizzazione e </w:t>
      </w:r>
      <w:r w:rsidR="0014236F" w:rsidRPr="007516F9">
        <w:t xml:space="preserve">ristrutturazione di </w:t>
      </w:r>
      <w:r w:rsidR="00120757" w:rsidRPr="009C4E23">
        <w:t>complessi</w:t>
      </w:r>
      <w:r w:rsidR="00120757">
        <w:t xml:space="preserve"> </w:t>
      </w:r>
      <w:r w:rsidR="0014236F" w:rsidRPr="007516F9">
        <w:t>edilizi di edifici ospitanti impianti sportivi ai sensi dell’art 3 c. 1 lett. d DPR 380/20</w:t>
      </w:r>
      <w:r w:rsidR="00DF73BF">
        <w:t>0</w:t>
      </w:r>
      <w:r w:rsidR="0014236F" w:rsidRPr="007516F9">
        <w:t>1</w:t>
      </w:r>
      <w:r w:rsidR="00120757">
        <w:t xml:space="preserve"> riguardanti l’</w:t>
      </w:r>
      <w:r w:rsidRPr="007516F9">
        <w:t xml:space="preserve">efficientamento energetico, </w:t>
      </w:r>
      <w:r w:rsidR="00120757">
        <w:t xml:space="preserve">il </w:t>
      </w:r>
      <w:r w:rsidRPr="007516F9">
        <w:t>miglioramento</w:t>
      </w:r>
      <w:r w:rsidR="00120757">
        <w:t xml:space="preserve"> sismico</w:t>
      </w:r>
      <w:r w:rsidRPr="007516F9">
        <w:t>,</w:t>
      </w:r>
      <w:r w:rsidR="00120757">
        <w:t xml:space="preserve"> il</w:t>
      </w:r>
      <w:r w:rsidRPr="007516F9">
        <w:t xml:space="preserve"> completamento e messa a norma di impianti e complessi sportivi pubblici e/o strumentali all’attività sportiva, anche situati all’interno del plesso scolastico; </w:t>
      </w:r>
    </w:p>
    <w:p w14:paraId="64C62CB8" w14:textId="77777777" w:rsidR="009D2BAD" w:rsidRPr="007516F9" w:rsidRDefault="009D2BAD" w:rsidP="00935B8C">
      <w:pPr>
        <w:jc w:val="both"/>
        <w:rPr>
          <w:u w:val="single"/>
        </w:rPr>
      </w:pPr>
      <w:r w:rsidRPr="007516F9">
        <w:rPr>
          <w:u w:val="single"/>
        </w:rPr>
        <w:t xml:space="preserve">Tipologie di opere ammissibili </w:t>
      </w:r>
    </w:p>
    <w:p w14:paraId="0113AD30" w14:textId="3184887B" w:rsidR="007967CE" w:rsidRPr="007516F9" w:rsidRDefault="006F349F" w:rsidP="00935B8C">
      <w:pPr>
        <w:jc w:val="both"/>
        <w:rPr>
          <w:rFonts w:ascii="Calibri" w:hAnsi="Calibri" w:cs="Calibri"/>
          <w:shd w:val="clear" w:color="auto" w:fill="FFFFFF"/>
        </w:rPr>
      </w:pPr>
      <w:r w:rsidRPr="007516F9">
        <w:rPr>
          <w:rFonts w:ascii="Calibri" w:hAnsi="Calibri" w:cs="Calibri"/>
          <w:color w:val="222222"/>
          <w:shd w:val="clear" w:color="auto" w:fill="FFFFFF"/>
        </w:rPr>
        <w:t xml:space="preserve">Potranno essere realizzate le seguenti tipologie di </w:t>
      </w:r>
      <w:r w:rsidRPr="007516F9">
        <w:rPr>
          <w:rFonts w:ascii="Calibri" w:hAnsi="Calibri" w:cs="Calibri"/>
          <w:shd w:val="clear" w:color="auto" w:fill="FFFFFF"/>
        </w:rPr>
        <w:t>opere, u</w:t>
      </w:r>
      <w:r w:rsidR="007E226A" w:rsidRPr="007516F9">
        <w:rPr>
          <w:rFonts w:ascii="Calibri" w:hAnsi="Calibri" w:cs="Calibri"/>
          <w:shd w:val="clear" w:color="auto" w:fill="FFFFFF"/>
        </w:rPr>
        <w:t>tilizzate per attività sportive</w:t>
      </w:r>
      <w:r w:rsidRPr="007516F9">
        <w:rPr>
          <w:rFonts w:ascii="Calibri" w:hAnsi="Calibri" w:cs="Calibri"/>
          <w:shd w:val="clear" w:color="auto" w:fill="FFFFFF"/>
        </w:rPr>
        <w:t>: </w:t>
      </w:r>
    </w:p>
    <w:p w14:paraId="787185FD" w14:textId="597223AF" w:rsidR="005F4F31" w:rsidRPr="007516F9" w:rsidRDefault="00B0485E" w:rsidP="005F4F31">
      <w:pPr>
        <w:pStyle w:val="Paragrafoelenco"/>
        <w:numPr>
          <w:ilvl w:val="0"/>
          <w:numId w:val="7"/>
        </w:numPr>
        <w:jc w:val="both"/>
      </w:pPr>
      <w:r w:rsidRPr="007516F9">
        <w:t>Opere strutturali, riferibili alla messa in sicurezza sismica</w:t>
      </w:r>
      <w:bookmarkStart w:id="0" w:name="_Hlk153887325"/>
      <w:r w:rsidR="00037F6F" w:rsidRPr="007516F9">
        <w:t>;</w:t>
      </w:r>
    </w:p>
    <w:bookmarkEnd w:id="0"/>
    <w:p w14:paraId="768F1C44" w14:textId="32B19E1D" w:rsidR="007E226A" w:rsidRPr="007516F9" w:rsidRDefault="009D2BAD" w:rsidP="009D2BAD">
      <w:pPr>
        <w:pStyle w:val="Paragrafoelenco"/>
        <w:numPr>
          <w:ilvl w:val="0"/>
          <w:numId w:val="7"/>
        </w:numPr>
        <w:jc w:val="both"/>
      </w:pPr>
      <w:r w:rsidRPr="007516F9">
        <w:t>Opere inerenti all’igiene</w:t>
      </w:r>
      <w:r w:rsidR="00120757">
        <w:t>, alla sicurezza ed all’efficientamento dell’</w:t>
      </w:r>
      <w:r w:rsidRPr="007516F9">
        <w:t>edificio;</w:t>
      </w:r>
    </w:p>
    <w:p w14:paraId="6B3C6119" w14:textId="77777777" w:rsidR="007E226A" w:rsidRPr="007516F9" w:rsidRDefault="007E226A" w:rsidP="009D2BAD">
      <w:pPr>
        <w:pStyle w:val="Paragrafoelenco"/>
        <w:numPr>
          <w:ilvl w:val="0"/>
          <w:numId w:val="7"/>
        </w:numPr>
        <w:jc w:val="both"/>
      </w:pPr>
      <w:r w:rsidRPr="007516F9">
        <w:t xml:space="preserve">Opere per favorire il superamento </w:t>
      </w:r>
      <w:r w:rsidR="009D2BAD" w:rsidRPr="007516F9">
        <w:t>delle barriere architettoniche;</w:t>
      </w:r>
    </w:p>
    <w:p w14:paraId="1152D0DB" w14:textId="1E6D0C71" w:rsidR="009D2BAD" w:rsidRDefault="009D2BAD" w:rsidP="00DF73BF">
      <w:pPr>
        <w:pStyle w:val="Paragrafoelenco"/>
        <w:numPr>
          <w:ilvl w:val="0"/>
          <w:numId w:val="7"/>
        </w:numPr>
      </w:pPr>
      <w:r w:rsidRPr="007516F9">
        <w:t xml:space="preserve">Aree e percorsi attrezzati, anche di nuova realizzazione, destinati all’attività sportiva, ivi compreso lo sport di cittadinanza, inteso come attività sportiva, motoria e ricreativa che si svolge in spazi aperti;       </w:t>
      </w:r>
    </w:p>
    <w:p w14:paraId="5883184D" w14:textId="42F6CFD8" w:rsidR="00413BF5" w:rsidRPr="009C4E23" w:rsidRDefault="00413BF5" w:rsidP="00413BF5">
      <w:pPr>
        <w:pStyle w:val="Paragrafoelenco"/>
        <w:numPr>
          <w:ilvl w:val="0"/>
          <w:numId w:val="7"/>
        </w:numPr>
      </w:pPr>
      <w:r w:rsidRPr="00AE508D">
        <w:t xml:space="preserve">Manutenzione </w:t>
      </w:r>
      <w:r w:rsidR="004D5CDB" w:rsidRPr="00AE508D">
        <w:rPr>
          <w:color w:val="000000" w:themeColor="text1"/>
        </w:rPr>
        <w:t xml:space="preserve">e sostituzione </w:t>
      </w:r>
      <w:r w:rsidRPr="00AE508D">
        <w:t>di</w:t>
      </w:r>
      <w:r w:rsidRPr="00413BF5">
        <w:t xml:space="preserve"> impianti elettrici </w:t>
      </w:r>
      <w:r w:rsidRPr="009C4E23">
        <w:t>ed idroterm</w:t>
      </w:r>
      <w:r w:rsidR="00BD566A" w:rsidRPr="009C4E23">
        <w:t>osanitari</w:t>
      </w:r>
      <w:r w:rsidRPr="009C4E23">
        <w:t xml:space="preserve">; </w:t>
      </w:r>
    </w:p>
    <w:p w14:paraId="37B741DA" w14:textId="4D5B156A" w:rsidR="007516F9" w:rsidRPr="009C4E23" w:rsidRDefault="003E4B0D" w:rsidP="009D2BAD">
      <w:pPr>
        <w:pStyle w:val="Paragrafoelenco"/>
        <w:numPr>
          <w:ilvl w:val="0"/>
          <w:numId w:val="7"/>
        </w:numPr>
        <w:jc w:val="both"/>
      </w:pPr>
      <w:bookmarkStart w:id="1" w:name="_Hlk160628849"/>
      <w:r w:rsidRPr="009C4E23">
        <w:t>Efficientamento</w:t>
      </w:r>
      <w:r w:rsidR="00F15979" w:rsidRPr="009C4E23">
        <w:t xml:space="preserve"> o realizzazione</w:t>
      </w:r>
      <w:r w:rsidRPr="009C4E23">
        <w:t xml:space="preserve"> dell’il</w:t>
      </w:r>
      <w:r w:rsidR="007516F9" w:rsidRPr="009C4E23">
        <w:t xml:space="preserve">luminazione degli impianti sportivi;                                   </w:t>
      </w:r>
    </w:p>
    <w:bookmarkEnd w:id="1"/>
    <w:p w14:paraId="31232140" w14:textId="624D8DA2" w:rsidR="009D2BAD" w:rsidRPr="009C4E23" w:rsidRDefault="009D2BAD" w:rsidP="005F4F31">
      <w:pPr>
        <w:pStyle w:val="Paragrafoelenco"/>
        <w:jc w:val="both"/>
      </w:pPr>
    </w:p>
    <w:p w14:paraId="2BBF56DD" w14:textId="77777777" w:rsidR="007E226A" w:rsidRPr="007E226A" w:rsidRDefault="007E226A" w:rsidP="007E226A">
      <w:pPr>
        <w:jc w:val="both"/>
      </w:pPr>
    </w:p>
    <w:p w14:paraId="6674221E" w14:textId="77777777" w:rsidR="00084508" w:rsidRPr="00202431" w:rsidRDefault="00B0485E" w:rsidP="00935B8C">
      <w:pPr>
        <w:jc w:val="both"/>
        <w:rPr>
          <w:u w:val="single"/>
        </w:rPr>
      </w:pPr>
      <w:r w:rsidRPr="00202431">
        <w:rPr>
          <w:u w:val="single"/>
        </w:rPr>
        <w:t xml:space="preserve">Requisiti di ammissibilità </w:t>
      </w:r>
    </w:p>
    <w:p w14:paraId="2356E9FB" w14:textId="6EC6303E" w:rsidR="003E4B0D" w:rsidRPr="009C0EAF" w:rsidRDefault="003E4B0D" w:rsidP="003E4B0D">
      <w:pPr>
        <w:shd w:val="clear" w:color="auto" w:fill="FFFFFF"/>
        <w:spacing w:after="0" w:line="240" w:lineRule="auto"/>
        <w:rPr>
          <w:rFonts w:cstheme="minorHAnsi"/>
        </w:rPr>
      </w:pPr>
      <w:r w:rsidRPr="009C0EAF">
        <w:rPr>
          <w:rFonts w:cstheme="minorHAnsi"/>
        </w:rPr>
        <w:t xml:space="preserve">Ai fini della </w:t>
      </w:r>
      <w:r w:rsidRPr="00487DD7">
        <w:rPr>
          <w:rFonts w:cstheme="minorHAnsi"/>
        </w:rPr>
        <w:t xml:space="preserve">presentazione dell’istanza, </w:t>
      </w:r>
      <w:r w:rsidRPr="00487DD7">
        <w:rPr>
          <w:rFonts w:eastAsia="Times New Roman" w:cstheme="minorHAnsi"/>
          <w:color w:val="222222"/>
          <w:lang w:eastAsia="it-IT"/>
        </w:rPr>
        <w:t>ferma</w:t>
      </w:r>
      <w:r w:rsidRPr="009C0EAF">
        <w:rPr>
          <w:rFonts w:eastAsia="Times New Roman" w:cstheme="minorHAnsi"/>
          <w:color w:val="222222"/>
          <w:lang w:eastAsia="it-IT"/>
        </w:rPr>
        <w:t xml:space="preserve"> restando la necessità della completezza del progetto ai sensi della normativa vigente, in questa sede è richiesto l</w:t>
      </w:r>
      <w:r w:rsidRPr="002C51DA">
        <w:rPr>
          <w:rFonts w:eastAsia="Times New Roman" w:cstheme="minorHAnsi"/>
          <w:color w:val="222222"/>
          <w:lang w:eastAsia="it-IT"/>
        </w:rPr>
        <w:t>’</w:t>
      </w:r>
      <w:r w:rsidRPr="009C0EAF">
        <w:rPr>
          <w:rFonts w:eastAsia="Times New Roman" w:cstheme="minorHAnsi"/>
          <w:color w:val="222222"/>
          <w:lang w:eastAsia="it-IT"/>
        </w:rPr>
        <w:t>invio di tutti e soli i seguenti elaborati, firmati digitalmente:</w:t>
      </w:r>
    </w:p>
    <w:p w14:paraId="6EA0DA9A" w14:textId="180EF63E" w:rsidR="003E4B0D" w:rsidRPr="00392788" w:rsidRDefault="003E4B0D" w:rsidP="00392788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it-IT"/>
        </w:rPr>
      </w:pPr>
      <w:r w:rsidRPr="00392788">
        <w:rPr>
          <w:rFonts w:eastAsia="Times New Roman" w:cstheme="minorHAnsi"/>
          <w:color w:val="222222"/>
          <w:lang w:eastAsia="it-IT"/>
        </w:rPr>
        <w:t>relazione illustrativa;</w:t>
      </w:r>
    </w:p>
    <w:p w14:paraId="1EC80563" w14:textId="547B6324" w:rsidR="00193794" w:rsidRPr="00392788" w:rsidRDefault="00BD566A" w:rsidP="00392788">
      <w:pPr>
        <w:pStyle w:val="Paragrafoelenco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bCs/>
        </w:rPr>
      </w:pPr>
      <w:r w:rsidRPr="00392788">
        <w:rPr>
          <w:rFonts w:cstheme="minorHAnsi"/>
          <w:bCs/>
        </w:rPr>
        <w:t>quadro economico</w:t>
      </w:r>
      <w:r w:rsidR="00193794" w:rsidRPr="00392788">
        <w:rPr>
          <w:rFonts w:cstheme="minorHAnsi"/>
          <w:bCs/>
        </w:rPr>
        <w:t>, computo metrico estimativo</w:t>
      </w:r>
      <w:r w:rsidR="00E548B7" w:rsidRPr="00392788">
        <w:rPr>
          <w:rFonts w:cstheme="minorHAnsi"/>
          <w:bCs/>
        </w:rPr>
        <w:t>;</w:t>
      </w:r>
      <w:r w:rsidR="00193794" w:rsidRPr="00392788">
        <w:rPr>
          <w:rFonts w:cstheme="minorHAnsi"/>
          <w:bCs/>
        </w:rPr>
        <w:t xml:space="preserve"> </w:t>
      </w:r>
    </w:p>
    <w:p w14:paraId="0C8A2ACB" w14:textId="7B257A1C" w:rsidR="00E548B7" w:rsidRPr="00392788" w:rsidRDefault="00E548B7" w:rsidP="00392788">
      <w:pPr>
        <w:pStyle w:val="Paragrafoelenco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222222"/>
          <w:lang w:eastAsia="it-IT"/>
        </w:rPr>
      </w:pPr>
      <w:r w:rsidRPr="00392788">
        <w:rPr>
          <w:rFonts w:eastAsia="Times New Roman" w:cstheme="minorHAnsi"/>
          <w:color w:val="222222"/>
          <w:lang w:eastAsia="it-IT"/>
        </w:rPr>
        <w:lastRenderedPageBreak/>
        <w:t>tavola grafica per l</w:t>
      </w:r>
      <w:r w:rsidRPr="002C51DA">
        <w:rPr>
          <w:rFonts w:eastAsia="Times New Roman" w:cstheme="minorHAnsi"/>
          <w:color w:val="222222"/>
          <w:lang w:eastAsia="it-IT"/>
        </w:rPr>
        <w:t>’</w:t>
      </w:r>
      <w:r w:rsidRPr="00392788">
        <w:rPr>
          <w:rFonts w:eastAsia="Times New Roman" w:cstheme="minorHAnsi"/>
          <w:color w:val="222222"/>
          <w:lang w:eastAsia="it-IT"/>
        </w:rPr>
        <w:t>inquadramento generale ed un estratto progettuale composto al massimo da tre tavole per la rappresentazione dello stato di progetto;</w:t>
      </w:r>
    </w:p>
    <w:p w14:paraId="155A51DE" w14:textId="0A4E5715" w:rsidR="003E4B0D" w:rsidRPr="003E4B0D" w:rsidRDefault="003E4B0D" w:rsidP="003E4B0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highlight w:val="yellow"/>
          <w:lang w:eastAsia="it-IT"/>
        </w:rPr>
      </w:pPr>
    </w:p>
    <w:p w14:paraId="104DBDD5" w14:textId="4435A9DE" w:rsidR="003D0CD7" w:rsidRDefault="003D0CD7" w:rsidP="003D0CD7">
      <w:pPr>
        <w:jc w:val="both"/>
      </w:pPr>
      <w:r w:rsidRPr="009C0EAF">
        <w:t>Sono ammessi a contributo anche interventi parziali (lotto funzionale) di un progetto complesso, a condizione che l’intervento realizzato sia funzionalmente autonomo ed efficiente indipendentemente dalla realizzazione delle al</w:t>
      </w:r>
      <w:r w:rsidR="006D7102" w:rsidRPr="009C0EAF">
        <w:t>tre parti del progetto generale;</w:t>
      </w:r>
    </w:p>
    <w:p w14:paraId="59C2807D" w14:textId="758B4F1A" w:rsidR="001646B2" w:rsidRPr="003D0CD7" w:rsidRDefault="001646B2" w:rsidP="003D0CD7">
      <w:pPr>
        <w:jc w:val="both"/>
      </w:pPr>
      <w:r>
        <w:t>Dovranno essere rispettati i seguenti requisiti:</w:t>
      </w:r>
    </w:p>
    <w:p w14:paraId="11783B32" w14:textId="77777777" w:rsidR="00084508" w:rsidRPr="006D7102" w:rsidRDefault="00B0485E" w:rsidP="00935B8C">
      <w:pPr>
        <w:jc w:val="both"/>
      </w:pPr>
      <w:r w:rsidRPr="006D7102">
        <w:t xml:space="preserve">• funzionalità dell’opera o dello stralcio oggetto di finanziamento; </w:t>
      </w:r>
    </w:p>
    <w:p w14:paraId="4C83A416" w14:textId="67D92FD6" w:rsidR="00084508" w:rsidRDefault="00B0485E" w:rsidP="00935B8C">
      <w:pPr>
        <w:jc w:val="both"/>
      </w:pPr>
      <w:r w:rsidRPr="006D7102">
        <w:t>• lavori stimati sulla base d</w:t>
      </w:r>
      <w:r w:rsidR="00DF73BF">
        <w:t>el</w:t>
      </w:r>
      <w:r w:rsidRPr="006D7102">
        <w:t xml:space="preserve"> prezziari</w:t>
      </w:r>
      <w:r w:rsidR="00DF73BF">
        <w:t>o</w:t>
      </w:r>
      <w:r w:rsidRPr="006D7102">
        <w:t xml:space="preserve"> regional</w:t>
      </w:r>
      <w:r w:rsidR="00DF73BF">
        <w:t>e</w:t>
      </w:r>
      <w:r w:rsidR="008563E8">
        <w:t xml:space="preserve"> della Regione del Veneto</w:t>
      </w:r>
      <w:r w:rsidRPr="006D7102">
        <w:t>;</w:t>
      </w:r>
      <w:r w:rsidR="00202431" w:rsidRPr="006D7102">
        <w:t xml:space="preserve"> qualora </w:t>
      </w:r>
      <w:r w:rsidR="008563E8">
        <w:t xml:space="preserve">non sia presente, lo stesso </w:t>
      </w:r>
      <w:r w:rsidR="00202431" w:rsidRPr="006D7102">
        <w:t>deve essere stimato sulla base di altri prezziari vigenti o tramite analisi dei prezzi unitari</w:t>
      </w:r>
      <w:r w:rsidR="00941D5C">
        <w:t>;</w:t>
      </w:r>
      <w:r w:rsidRPr="006D7102">
        <w:t xml:space="preserve"> </w:t>
      </w:r>
    </w:p>
    <w:p w14:paraId="75C9C89B" w14:textId="77777777" w:rsidR="00084508" w:rsidRPr="006D7102" w:rsidRDefault="00B0485E" w:rsidP="00935B8C">
      <w:pPr>
        <w:jc w:val="both"/>
      </w:pPr>
      <w:r w:rsidRPr="006D7102">
        <w:t xml:space="preserve">• assenza di ulteriori contributi </w:t>
      </w:r>
      <w:r w:rsidR="00084508" w:rsidRPr="006D7102">
        <w:t>regionali</w:t>
      </w:r>
      <w:r w:rsidRPr="006D7102">
        <w:t xml:space="preserve"> sul medesimo intervento o stralcio funzionale; </w:t>
      </w:r>
    </w:p>
    <w:p w14:paraId="5921E834" w14:textId="77777777" w:rsidR="00276590" w:rsidRPr="006D7102" w:rsidRDefault="00B0485E" w:rsidP="00935B8C">
      <w:pPr>
        <w:jc w:val="both"/>
      </w:pPr>
      <w:r w:rsidRPr="006D7102">
        <w:t xml:space="preserve">• lavori non iniziati, o avviati ma non conclusi, alla data di presentazione dell’istanza; </w:t>
      </w:r>
    </w:p>
    <w:p w14:paraId="04D60383" w14:textId="1B80F742" w:rsidR="00276590" w:rsidRPr="006D7102" w:rsidRDefault="00B0485E" w:rsidP="00935B8C">
      <w:pPr>
        <w:jc w:val="both"/>
      </w:pPr>
      <w:r w:rsidRPr="006D7102">
        <w:t xml:space="preserve">• sono ammesse le spese </w:t>
      </w:r>
      <w:r w:rsidR="006D7102" w:rsidRPr="006D7102">
        <w:t xml:space="preserve">(come dettagliato in Allegato A2 art. 2) </w:t>
      </w:r>
      <w:r w:rsidRPr="006D7102">
        <w:t>per lavori</w:t>
      </w:r>
      <w:r w:rsidR="005B7CCD" w:rsidRPr="006D7102">
        <w:t xml:space="preserve"> comprensive degli oneri per la sicurezza</w:t>
      </w:r>
      <w:r w:rsidRPr="006D7102">
        <w:t>,</w:t>
      </w:r>
      <w:r w:rsidR="005B7CCD" w:rsidRPr="006D7102">
        <w:t xml:space="preserve"> </w:t>
      </w:r>
      <w:r w:rsidRPr="006D7102">
        <w:t xml:space="preserve">IVA compresa, purché costituisca costo effettivo a carico del beneficiario; </w:t>
      </w:r>
      <w:r w:rsidR="009D2BAD" w:rsidRPr="006D7102">
        <w:t xml:space="preserve"> </w:t>
      </w:r>
    </w:p>
    <w:p w14:paraId="21516C4B" w14:textId="72C0486C" w:rsidR="00276590" w:rsidRDefault="00B0485E" w:rsidP="00935B8C">
      <w:pPr>
        <w:jc w:val="both"/>
      </w:pPr>
      <w:r w:rsidRPr="006D7102">
        <w:t xml:space="preserve">• sono ammessi esclusivamente interventi </w:t>
      </w:r>
      <w:r w:rsidR="00941D5C">
        <w:t>la cui spesa ammissibile totale</w:t>
      </w:r>
      <w:r w:rsidR="006D7102">
        <w:t xml:space="preserve"> (</w:t>
      </w:r>
      <w:r w:rsidR="00941D5C">
        <w:t>SAT</w:t>
      </w:r>
      <w:r w:rsidR="006D7102">
        <w:t>)</w:t>
      </w:r>
      <w:r w:rsidRPr="006D7102">
        <w:t>, inclusi gli oneri per la sicurezza ed eventuale IVA,</w:t>
      </w:r>
      <w:r w:rsidR="005B7CCD" w:rsidRPr="006D7102">
        <w:t xml:space="preserve"> risulti non inferiore ad Euro </w:t>
      </w:r>
      <w:r w:rsidR="00941D5C">
        <w:t>25</w:t>
      </w:r>
      <w:r w:rsidRPr="006D7102">
        <w:t>.</w:t>
      </w:r>
      <w:r w:rsidR="005B7CCD" w:rsidRPr="006D7102">
        <w:t>000,00</w:t>
      </w:r>
      <w:r>
        <w:t xml:space="preserve">; </w:t>
      </w:r>
    </w:p>
    <w:p w14:paraId="4BB43976" w14:textId="537803D6" w:rsidR="004270DE" w:rsidRDefault="00B0485E" w:rsidP="00935B8C">
      <w:pPr>
        <w:jc w:val="both"/>
      </w:pPr>
      <w:r>
        <w:t xml:space="preserve">• si richiamano inoltre le ulteriori condizioni di ammissibilità previste dalla domanda da redigersi utilizzando il già richiamato modello di cui </w:t>
      </w:r>
      <w:r w:rsidRPr="00E9125E">
        <w:t xml:space="preserve">all’Allegato </w:t>
      </w:r>
      <w:r w:rsidR="001D5C13" w:rsidRPr="00E9125E">
        <w:t>A1</w:t>
      </w:r>
      <w:r w:rsidR="004270DE" w:rsidRPr="00E9125E">
        <w:t xml:space="preserve"> al provvedimento di approvazione del presente </w:t>
      </w:r>
      <w:proofErr w:type="gramStart"/>
      <w:r w:rsidR="004270DE" w:rsidRPr="00E9125E">
        <w:t xml:space="preserve">Bando: </w:t>
      </w:r>
      <w:r w:rsidR="004270DE">
        <w:t xml:space="preserve"> </w:t>
      </w:r>
      <w:r w:rsidR="004270DE" w:rsidRPr="00340EE4">
        <w:rPr>
          <w:i/>
        </w:rPr>
        <w:t>“</w:t>
      </w:r>
      <w:proofErr w:type="gramEnd"/>
      <w:r w:rsidR="004270DE" w:rsidRPr="00340EE4">
        <w:rPr>
          <w:i/>
        </w:rPr>
        <w:t>Istanza di finanziamento per opere di miglioria, anche strutturale, di impianti sportivi</w:t>
      </w:r>
      <w:r w:rsidR="005B7CCD">
        <w:rPr>
          <w:i/>
        </w:rPr>
        <w:t xml:space="preserve"> – Anno 2024</w:t>
      </w:r>
      <w:r w:rsidR="004270DE" w:rsidRPr="00340EE4">
        <w:rPr>
          <w:i/>
        </w:rPr>
        <w:t>” comprensiva di “note per la compilazione”</w:t>
      </w:r>
      <w:r w:rsidR="004270DE">
        <w:t xml:space="preserve"> </w:t>
      </w:r>
      <w:r w:rsidR="00941D5C">
        <w:t>;</w:t>
      </w:r>
    </w:p>
    <w:p w14:paraId="5C0D30E4" w14:textId="77777777" w:rsidR="00276590" w:rsidRPr="00202431" w:rsidRDefault="00B0485E" w:rsidP="00935B8C">
      <w:pPr>
        <w:jc w:val="both"/>
        <w:rPr>
          <w:u w:val="single"/>
        </w:rPr>
      </w:pPr>
      <w:r w:rsidRPr="00202431">
        <w:rPr>
          <w:u w:val="single"/>
        </w:rPr>
        <w:t xml:space="preserve">Graduatorie </w:t>
      </w:r>
    </w:p>
    <w:p w14:paraId="0119908B" w14:textId="77777777" w:rsidR="00276590" w:rsidRDefault="00B0485E" w:rsidP="00935B8C">
      <w:pPr>
        <w:jc w:val="both"/>
      </w:pPr>
      <w:r>
        <w:t xml:space="preserve">La graduatoria viene compilata sulla base dell’attribuzione dei seguenti punteggi: </w:t>
      </w:r>
    </w:p>
    <w:p w14:paraId="4CCAE5AF" w14:textId="04B567A1" w:rsidR="00276590" w:rsidRDefault="00B0485E" w:rsidP="00935B8C">
      <w:pPr>
        <w:pStyle w:val="Paragrafoelenco"/>
        <w:numPr>
          <w:ilvl w:val="0"/>
          <w:numId w:val="1"/>
        </w:numPr>
        <w:jc w:val="both"/>
      </w:pPr>
      <w:r>
        <w:t xml:space="preserve">Importo </w:t>
      </w:r>
      <w:r w:rsidR="00941D5C">
        <w:t xml:space="preserve">Spesa Ammissibile </w:t>
      </w:r>
      <w:proofErr w:type="gramStart"/>
      <w:r w:rsidR="00941D5C">
        <w:t xml:space="preserve">Totale </w:t>
      </w:r>
      <w:r w:rsidR="005B7CCD">
        <w:t xml:space="preserve"> (</w:t>
      </w:r>
      <w:proofErr w:type="gramEnd"/>
      <w:r w:rsidR="00941D5C">
        <w:t>SAT</w:t>
      </w:r>
      <w:r w:rsidR="005B7CCD">
        <w:t>)</w:t>
      </w:r>
      <w:r>
        <w:t xml:space="preserve"> </w:t>
      </w:r>
    </w:p>
    <w:p w14:paraId="36A7B1D6" w14:textId="4BBCA7CD" w:rsidR="00276590" w:rsidRDefault="00941D5C" w:rsidP="002314B6">
      <w:pPr>
        <w:pStyle w:val="Paragrafoelenco"/>
        <w:jc w:val="both"/>
      </w:pPr>
      <w:r>
        <w:t>SAT</w:t>
      </w:r>
      <w:r w:rsidR="005B7CCD">
        <w:t xml:space="preserve"> da Euro 2</w:t>
      </w:r>
      <w:r w:rsidR="00630317">
        <w:t>5</w:t>
      </w:r>
      <w:r w:rsidR="005B7CCD">
        <w:t>.000,</w:t>
      </w:r>
      <w:proofErr w:type="gramStart"/>
      <w:r w:rsidR="005B7CCD">
        <w:t xml:space="preserve">00 </w:t>
      </w:r>
      <w:r w:rsidR="002314B6">
        <w:t xml:space="preserve"> </w:t>
      </w:r>
      <w:r w:rsidR="005B7CCD">
        <w:t>a</w:t>
      </w:r>
      <w:proofErr w:type="gramEnd"/>
      <w:r w:rsidR="005B7CCD">
        <w:t xml:space="preserve"> Euro </w:t>
      </w:r>
      <w:r w:rsidR="00630317">
        <w:t>75</w:t>
      </w:r>
      <w:r w:rsidR="00B0485E">
        <w:t xml:space="preserve">.000,00 </w:t>
      </w:r>
      <w:r w:rsidR="00D1034A">
        <w:tab/>
      </w:r>
      <w:r w:rsidR="001646B2">
        <w:t xml:space="preserve"> </w:t>
      </w:r>
      <w:r w:rsidR="00D1034A">
        <w:t xml:space="preserve">- </w:t>
      </w:r>
      <w:r w:rsidR="005B7CCD">
        <w:t xml:space="preserve">punti </w:t>
      </w:r>
      <w:r w:rsidR="00630317">
        <w:t>3</w:t>
      </w:r>
    </w:p>
    <w:p w14:paraId="5A5E1CC8" w14:textId="0DC14D3C" w:rsidR="00276590" w:rsidRDefault="00941D5C" w:rsidP="00935B8C">
      <w:pPr>
        <w:pStyle w:val="Paragrafoelenco"/>
        <w:jc w:val="both"/>
      </w:pPr>
      <w:r>
        <w:t>SAT</w:t>
      </w:r>
      <w:r w:rsidR="005B7CCD">
        <w:t xml:space="preserve"> da Euro </w:t>
      </w:r>
      <w:r w:rsidR="00630317">
        <w:t>75</w:t>
      </w:r>
      <w:r w:rsidR="005B7CCD">
        <w:t xml:space="preserve">.000,01 a Euro </w:t>
      </w:r>
      <w:r w:rsidR="00630317">
        <w:t>1</w:t>
      </w:r>
      <w:r w:rsidR="005B7CCD">
        <w:t>0</w:t>
      </w:r>
      <w:r w:rsidR="00B0485E">
        <w:t xml:space="preserve">0.000,00 </w:t>
      </w:r>
      <w:r w:rsidR="00D1034A">
        <w:tab/>
      </w:r>
      <w:r w:rsidR="001646B2">
        <w:t xml:space="preserve"> </w:t>
      </w:r>
      <w:r w:rsidR="00D1034A">
        <w:t xml:space="preserve">- </w:t>
      </w:r>
      <w:r w:rsidR="00B0485E">
        <w:t xml:space="preserve">punti </w:t>
      </w:r>
      <w:r w:rsidR="00630317">
        <w:t>2</w:t>
      </w:r>
      <w:r w:rsidR="00B0485E">
        <w:t xml:space="preserve"> </w:t>
      </w:r>
    </w:p>
    <w:p w14:paraId="67830DC7" w14:textId="55A749A6" w:rsidR="00276590" w:rsidRDefault="00941D5C" w:rsidP="005B7CCD">
      <w:pPr>
        <w:pStyle w:val="Paragrafoelenco"/>
        <w:jc w:val="both"/>
      </w:pPr>
      <w:proofErr w:type="gramStart"/>
      <w:r>
        <w:t xml:space="preserve">SAT </w:t>
      </w:r>
      <w:r w:rsidR="005B7CCD">
        <w:t xml:space="preserve"> da</w:t>
      </w:r>
      <w:proofErr w:type="gramEnd"/>
      <w:r w:rsidR="005B7CCD">
        <w:t xml:space="preserve"> Euro </w:t>
      </w:r>
      <w:r w:rsidR="00630317">
        <w:t>100</w:t>
      </w:r>
      <w:r w:rsidR="005B7CCD">
        <w:t xml:space="preserve">.000,01 </w:t>
      </w:r>
      <w:r w:rsidR="00A9460D">
        <w:t xml:space="preserve">          e superiori </w:t>
      </w:r>
      <w:r w:rsidR="00D1034A">
        <w:tab/>
      </w:r>
      <w:r w:rsidR="001646B2">
        <w:t xml:space="preserve"> </w:t>
      </w:r>
      <w:r w:rsidR="00D1034A">
        <w:t xml:space="preserve">- </w:t>
      </w:r>
      <w:r w:rsidR="00B0485E">
        <w:t xml:space="preserve">punti 1 </w:t>
      </w:r>
    </w:p>
    <w:p w14:paraId="69C4016B" w14:textId="77777777" w:rsidR="005D39D3" w:rsidRDefault="005D39D3" w:rsidP="005B7CCD">
      <w:pPr>
        <w:pStyle w:val="Paragrafoelenco"/>
        <w:jc w:val="both"/>
      </w:pPr>
    </w:p>
    <w:p w14:paraId="005E99D6" w14:textId="15F380C7" w:rsidR="00630317" w:rsidRDefault="00630317" w:rsidP="00630317">
      <w:pPr>
        <w:pStyle w:val="Paragrafoelenco"/>
        <w:numPr>
          <w:ilvl w:val="0"/>
          <w:numId w:val="1"/>
        </w:numPr>
        <w:jc w:val="both"/>
      </w:pPr>
      <w:r>
        <w:t>Percentuale Spesa Ammissibile a carico dell’Ente</w:t>
      </w:r>
    </w:p>
    <w:p w14:paraId="39A014AE" w14:textId="3917529E" w:rsidR="00630317" w:rsidRDefault="00630317" w:rsidP="00630317">
      <w:pPr>
        <w:pStyle w:val="Paragrafoelenco"/>
        <w:jc w:val="both"/>
      </w:pPr>
      <w:r>
        <w:t>(% su SAT) uguale al 20%                                           - punti 0</w:t>
      </w:r>
    </w:p>
    <w:p w14:paraId="0CE4E7A0" w14:textId="47151E76" w:rsidR="00630317" w:rsidRDefault="00630317" w:rsidP="00630317">
      <w:pPr>
        <w:pStyle w:val="Paragrafoelenco"/>
        <w:jc w:val="both"/>
      </w:pPr>
      <w:r>
        <w:t>da 20,01</w:t>
      </w:r>
      <w:proofErr w:type="gramStart"/>
      <w:r>
        <w:t>%  al</w:t>
      </w:r>
      <w:proofErr w:type="gramEnd"/>
      <w:r>
        <w:t xml:space="preserve"> 30,00%</w:t>
      </w:r>
      <w:r w:rsidR="005D39D3">
        <w:t xml:space="preserve">                                                 </w:t>
      </w:r>
      <w:r>
        <w:t xml:space="preserve"> - punti 1</w:t>
      </w:r>
    </w:p>
    <w:p w14:paraId="7C95615F" w14:textId="5CF4586C" w:rsidR="00630317" w:rsidRDefault="00630317" w:rsidP="00630317">
      <w:pPr>
        <w:pStyle w:val="Paragrafoelenco"/>
        <w:jc w:val="both"/>
      </w:pPr>
      <w:r>
        <w:t>da 30,01%, al 40,00%</w:t>
      </w:r>
      <w:r w:rsidR="005D39D3">
        <w:t xml:space="preserve">                                                 </w:t>
      </w:r>
      <w:r>
        <w:t xml:space="preserve"> - punti 2</w:t>
      </w:r>
    </w:p>
    <w:p w14:paraId="736AF637" w14:textId="16E35AC2" w:rsidR="00630317" w:rsidRDefault="00630317" w:rsidP="00630317">
      <w:pPr>
        <w:pStyle w:val="Paragrafoelenco"/>
        <w:jc w:val="both"/>
      </w:pPr>
      <w:r>
        <w:t>da 40,01</w:t>
      </w:r>
      <w:proofErr w:type="gramStart"/>
      <w:r>
        <w:t>%  al</w:t>
      </w:r>
      <w:proofErr w:type="gramEnd"/>
      <w:r>
        <w:t xml:space="preserve"> 50,00% </w:t>
      </w:r>
      <w:r w:rsidR="005D39D3">
        <w:t xml:space="preserve">                                                 </w:t>
      </w:r>
      <w:r>
        <w:t>- punti 3</w:t>
      </w:r>
    </w:p>
    <w:p w14:paraId="45E8A12E" w14:textId="63D37E1D" w:rsidR="00630317" w:rsidRDefault="005D39D3" w:rsidP="004C5A92">
      <w:pPr>
        <w:pStyle w:val="Paragrafoelenco"/>
        <w:jc w:val="both"/>
      </w:pPr>
      <w:r>
        <w:t xml:space="preserve">superiore al 50%                                                         </w:t>
      </w:r>
      <w:r w:rsidR="00630317">
        <w:t xml:space="preserve"> - punti </w:t>
      </w:r>
      <w:r>
        <w:t>4</w:t>
      </w:r>
    </w:p>
    <w:p w14:paraId="29B4856E" w14:textId="77777777" w:rsidR="005B7CCD" w:rsidRDefault="005B7CCD" w:rsidP="005B7CCD">
      <w:pPr>
        <w:pStyle w:val="Paragrafoelenco"/>
        <w:jc w:val="both"/>
      </w:pPr>
    </w:p>
    <w:p w14:paraId="0D6F834A" w14:textId="3635D4BB" w:rsidR="00276590" w:rsidRDefault="005D39D3" w:rsidP="00935B8C">
      <w:pPr>
        <w:pStyle w:val="Paragrafoelenco"/>
        <w:ind w:hanging="436"/>
        <w:jc w:val="both"/>
      </w:pPr>
      <w:r>
        <w:t>3</w:t>
      </w:r>
      <w:r w:rsidR="00B0485E">
        <w:t xml:space="preserve">. Tipologie </w:t>
      </w:r>
      <w:r w:rsidR="00836848">
        <w:t>di intervento</w:t>
      </w:r>
    </w:p>
    <w:p w14:paraId="0A0C5573" w14:textId="6F438BFF" w:rsidR="00276590" w:rsidRDefault="00B0485E" w:rsidP="007B4400">
      <w:pPr>
        <w:pStyle w:val="Paragrafoelenco"/>
        <w:ind w:left="1144" w:hanging="436"/>
      </w:pPr>
      <w:r>
        <w:t>A. Opere strutturali, relative alla messa in sicurezza sismica</w:t>
      </w:r>
      <w:r w:rsidR="00836848">
        <w:t>;</w:t>
      </w:r>
      <w:r w:rsidR="000C7DB1">
        <w:t xml:space="preserve"> </w:t>
      </w:r>
      <w:r w:rsidR="00D1034A">
        <w:tab/>
      </w:r>
      <w:r w:rsidR="00D1034A">
        <w:tab/>
      </w:r>
      <w:r w:rsidR="00D1034A">
        <w:tab/>
      </w:r>
      <w:r w:rsidR="00D1034A">
        <w:tab/>
      </w:r>
      <w:r w:rsidR="0019724F">
        <w:t xml:space="preserve"> </w:t>
      </w:r>
      <w:r w:rsidR="000C7DB1">
        <w:t>-</w:t>
      </w:r>
      <w:r>
        <w:t xml:space="preserve"> punti </w:t>
      </w:r>
      <w:r w:rsidR="005F4F31">
        <w:t>1</w:t>
      </w:r>
      <w:r>
        <w:t xml:space="preserve"> </w:t>
      </w:r>
    </w:p>
    <w:p w14:paraId="70B8EC79" w14:textId="7D076682" w:rsidR="005F4F31" w:rsidRDefault="005F4F31" w:rsidP="005F4F31">
      <w:pPr>
        <w:pStyle w:val="Paragrafoelenco"/>
      </w:pPr>
      <w:r w:rsidRPr="009C0EAF">
        <w:t xml:space="preserve">B. </w:t>
      </w:r>
      <w:proofErr w:type="gramStart"/>
      <w:r w:rsidRPr="009C0EAF">
        <w:t>Opere  inerenti</w:t>
      </w:r>
      <w:proofErr w:type="gramEnd"/>
      <w:r w:rsidRPr="009C0EAF">
        <w:t xml:space="preserve"> all’igiene</w:t>
      </w:r>
      <w:r w:rsidR="00120757" w:rsidRPr="009C0EAF">
        <w:t>,</w:t>
      </w:r>
      <w:r w:rsidRPr="009C0EAF">
        <w:t xml:space="preserve">  sicurezza </w:t>
      </w:r>
      <w:r w:rsidR="00120757" w:rsidRPr="009C0EAF">
        <w:t xml:space="preserve">ed efficientamento energetico </w:t>
      </w:r>
      <w:r w:rsidRPr="009C0EAF">
        <w:t>dell’edificio;</w:t>
      </w:r>
      <w:r w:rsidRPr="005F4F31">
        <w:t xml:space="preserve">   </w:t>
      </w:r>
      <w:r w:rsidR="00253F66">
        <w:t xml:space="preserve">        -punti 1 </w:t>
      </w:r>
    </w:p>
    <w:p w14:paraId="57F2030B" w14:textId="76106D71" w:rsidR="005F4F31" w:rsidRPr="005F4F31" w:rsidRDefault="005F4F31" w:rsidP="005F4F31">
      <w:pPr>
        <w:pStyle w:val="Paragrafoelenco"/>
      </w:pPr>
      <w:r>
        <w:t>C</w:t>
      </w:r>
      <w:r w:rsidRPr="005F4F31">
        <w:t xml:space="preserve">. Opere per favorire il superamento delle barriere </w:t>
      </w:r>
      <w:proofErr w:type="gramStart"/>
      <w:r w:rsidRPr="005F4F31">
        <w:t xml:space="preserve">architettoniche;   </w:t>
      </w:r>
      <w:proofErr w:type="gramEnd"/>
      <w:r w:rsidRPr="005F4F31">
        <w:t xml:space="preserve">                            </w:t>
      </w:r>
      <w:r w:rsidR="008563E8">
        <w:t xml:space="preserve"> </w:t>
      </w:r>
      <w:r w:rsidRPr="005F4F31">
        <w:t xml:space="preserve">   </w:t>
      </w:r>
      <w:r w:rsidR="0019724F">
        <w:t xml:space="preserve"> </w:t>
      </w:r>
      <w:r w:rsidRPr="005F4F31">
        <w:t xml:space="preserve"> -punti 2</w:t>
      </w:r>
    </w:p>
    <w:p w14:paraId="36E93228" w14:textId="29E70129" w:rsidR="00D1034A" w:rsidRDefault="005F4F31" w:rsidP="007B4400">
      <w:pPr>
        <w:pStyle w:val="Paragrafoelenco"/>
        <w:ind w:left="1144" w:hanging="436"/>
      </w:pPr>
      <w:r>
        <w:lastRenderedPageBreak/>
        <w:t>D</w:t>
      </w:r>
      <w:r w:rsidR="00836848">
        <w:t xml:space="preserve">. </w:t>
      </w:r>
      <w:r w:rsidR="00B0485E">
        <w:t xml:space="preserve">Aree e percorsi attrezzati, anche di nuova realizzazione, destinati </w:t>
      </w:r>
    </w:p>
    <w:p w14:paraId="2B360B23" w14:textId="77777777" w:rsidR="00D1034A" w:rsidRDefault="00D1034A" w:rsidP="007B4400">
      <w:pPr>
        <w:pStyle w:val="Paragrafoelenco"/>
        <w:ind w:left="1144" w:hanging="436"/>
      </w:pPr>
      <w:r>
        <w:t xml:space="preserve">    </w:t>
      </w:r>
      <w:r w:rsidR="00B0485E">
        <w:t xml:space="preserve">all’attività sportiva, ivi compreso lo sport di cittadinanza, inteso come </w:t>
      </w:r>
    </w:p>
    <w:p w14:paraId="371ED2F7" w14:textId="77777777" w:rsidR="008563E8" w:rsidRDefault="00D1034A" w:rsidP="008563E8">
      <w:pPr>
        <w:pStyle w:val="Paragrafoelenco"/>
        <w:ind w:left="1144" w:hanging="436"/>
      </w:pPr>
      <w:r>
        <w:t xml:space="preserve">    </w:t>
      </w:r>
      <w:r w:rsidR="00B0485E">
        <w:t>attività sportiva, motoria e ricreativa che si svolge in spazi aperti</w:t>
      </w:r>
      <w:r w:rsidR="00836848">
        <w:t>;</w:t>
      </w:r>
      <w:r>
        <w:tab/>
      </w:r>
      <w:r>
        <w:tab/>
      </w:r>
      <w:r>
        <w:tab/>
      </w:r>
      <w:r w:rsidR="00A9460D">
        <w:t xml:space="preserve"> </w:t>
      </w:r>
      <w:r w:rsidR="000C7DB1">
        <w:t xml:space="preserve">- </w:t>
      </w:r>
      <w:r w:rsidR="00B0485E">
        <w:t>punti 2</w:t>
      </w:r>
    </w:p>
    <w:p w14:paraId="5356190D" w14:textId="0F5DBD1B" w:rsidR="00276590" w:rsidRDefault="008563E8" w:rsidP="008563E8">
      <w:pPr>
        <w:pStyle w:val="Paragrafoelenco"/>
        <w:ind w:left="1144" w:hanging="436"/>
      </w:pPr>
      <w:r>
        <w:t>E</w:t>
      </w:r>
      <w:r w:rsidRPr="008563E8">
        <w:t xml:space="preserve">. Manutenzione </w:t>
      </w:r>
      <w:bookmarkStart w:id="2" w:name="_GoBack"/>
      <w:bookmarkEnd w:id="2"/>
      <w:r w:rsidR="0084652F" w:rsidRPr="00816BC2">
        <w:t>e</w:t>
      </w:r>
      <w:r w:rsidR="00253F66">
        <w:t xml:space="preserve"> sostituzione </w:t>
      </w:r>
      <w:r w:rsidRPr="008563E8">
        <w:t xml:space="preserve">di impianti elettrici </w:t>
      </w:r>
      <w:r w:rsidRPr="00487DD7">
        <w:t xml:space="preserve">ed </w:t>
      </w:r>
      <w:proofErr w:type="gramStart"/>
      <w:r w:rsidR="00253F66" w:rsidRPr="00487DD7">
        <w:t>idrote</w:t>
      </w:r>
      <w:r w:rsidR="0023637E" w:rsidRPr="00487DD7">
        <w:t>r</w:t>
      </w:r>
      <w:r w:rsidR="00253F66" w:rsidRPr="00487DD7">
        <w:t>mosanitari</w:t>
      </w:r>
      <w:r w:rsidRPr="00487DD7">
        <w:t>;</w:t>
      </w:r>
      <w:r w:rsidRPr="008563E8">
        <w:t xml:space="preserve">   </w:t>
      </w:r>
      <w:proofErr w:type="gramEnd"/>
      <w:r w:rsidRPr="008563E8">
        <w:t xml:space="preserve"> </w:t>
      </w:r>
      <w:r w:rsidR="00253F66">
        <w:t xml:space="preserve">                   </w:t>
      </w:r>
      <w:r w:rsidR="00487DD7">
        <w:tab/>
      </w:r>
      <w:r w:rsidR="0019724F">
        <w:t xml:space="preserve"> </w:t>
      </w:r>
      <w:r w:rsidRPr="008563E8">
        <w:t xml:space="preserve"> </w:t>
      </w:r>
      <w:r w:rsidR="00253F66">
        <w:t xml:space="preserve">-punti 2 </w:t>
      </w:r>
      <w:r w:rsidRPr="008563E8">
        <w:t xml:space="preserve">                                                     </w:t>
      </w:r>
    </w:p>
    <w:p w14:paraId="19C82D5A" w14:textId="72E0B488" w:rsidR="007516F9" w:rsidRDefault="008563E8" w:rsidP="007516F9">
      <w:pPr>
        <w:pStyle w:val="Paragrafoelenco"/>
        <w:ind w:left="1144" w:hanging="436"/>
      </w:pPr>
      <w:r>
        <w:t>F</w:t>
      </w:r>
      <w:r w:rsidR="007516F9" w:rsidRPr="009C0EAF">
        <w:t xml:space="preserve">. </w:t>
      </w:r>
      <w:bookmarkStart w:id="3" w:name="_Hlk153892428"/>
      <w:r w:rsidR="00BD566A" w:rsidRPr="009C0EAF">
        <w:t xml:space="preserve">Efficientamento </w:t>
      </w:r>
      <w:r w:rsidR="00167F4C" w:rsidRPr="009C0EAF">
        <w:t>o realizzazione</w:t>
      </w:r>
      <w:r w:rsidR="00167F4C">
        <w:t xml:space="preserve"> </w:t>
      </w:r>
      <w:r w:rsidR="00BD566A">
        <w:t>dell’i</w:t>
      </w:r>
      <w:r w:rsidR="00CD4058" w:rsidRPr="00CD4058">
        <w:t>l</w:t>
      </w:r>
      <w:r w:rsidR="007516F9">
        <w:t>l</w:t>
      </w:r>
      <w:r w:rsidR="00CD4058" w:rsidRPr="00CD4058">
        <w:t xml:space="preserve">uminazione degli impianti sportivi </w:t>
      </w:r>
      <w:r w:rsidR="00167F4C">
        <w:t xml:space="preserve"> </w:t>
      </w:r>
      <w:r w:rsidR="007516F9">
        <w:t xml:space="preserve">                       </w:t>
      </w:r>
      <w:bookmarkEnd w:id="3"/>
      <w:r w:rsidR="007516F9">
        <w:t xml:space="preserve">- punti 3 </w:t>
      </w:r>
    </w:p>
    <w:p w14:paraId="7DBAEC6B" w14:textId="4901D197" w:rsidR="00F70F6C" w:rsidRDefault="00D1034A" w:rsidP="00253F66">
      <w:pPr>
        <w:jc w:val="both"/>
      </w:pPr>
      <w:r w:rsidRPr="007B4400">
        <w:t xml:space="preserve">In relazione all’assegnazione dei punteggi di cui al punto “Tipologie” potrà essere assegnato uno solo </w:t>
      </w:r>
      <w:proofErr w:type="gramStart"/>
      <w:r w:rsidRPr="007B4400">
        <w:t>dei  punteggi</w:t>
      </w:r>
      <w:proofErr w:type="gramEnd"/>
      <w:r w:rsidRPr="007B4400">
        <w:t xml:space="preserve"> disponibili, per il quale si farà riferimento alla categoria di opere prevalente in termini economici, con riferimento ai soli lavori. </w:t>
      </w:r>
    </w:p>
    <w:p w14:paraId="457ECC53" w14:textId="7DD96830" w:rsidR="00F70F6C" w:rsidRPr="009C0EAF" w:rsidRDefault="00F70F6C" w:rsidP="00E54204">
      <w:pPr>
        <w:pStyle w:val="Paragrafoelenco"/>
        <w:numPr>
          <w:ilvl w:val="0"/>
          <w:numId w:val="14"/>
        </w:numPr>
        <w:jc w:val="both"/>
      </w:pPr>
      <w:r w:rsidRPr="009C0EAF">
        <w:t>Premialità per la fusione di Comuni e/o per l’esercizio di funzioni e servizi in forma associata in cui sia compresa la      gestione del patrimonio edilizio (art. 12 della Legge regionale statutaria 17 aprile 2012, n.1).</w:t>
      </w:r>
    </w:p>
    <w:tbl>
      <w:tblPr>
        <w:tblW w:w="9095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5"/>
        <w:gridCol w:w="6844"/>
        <w:gridCol w:w="926"/>
      </w:tblGrid>
      <w:tr w:rsidR="00F70F6C" w:rsidRPr="009C0EAF" w14:paraId="1085C2A5" w14:textId="77777777" w:rsidTr="00543B13">
        <w:trPr>
          <w:cantSplit/>
          <w:tblHeader/>
        </w:trPr>
        <w:tc>
          <w:tcPr>
            <w:tcW w:w="1325" w:type="dxa"/>
            <w:vAlign w:val="center"/>
          </w:tcPr>
          <w:p w14:paraId="7A0BEE1E" w14:textId="77777777" w:rsidR="00F70F6C" w:rsidRPr="009C0EAF" w:rsidRDefault="00F70F6C" w:rsidP="00543B13">
            <w:pPr>
              <w:jc w:val="center"/>
            </w:pPr>
            <w:r w:rsidRPr="009C0EAF">
              <w:t>Punteggio massimo</w:t>
            </w:r>
          </w:p>
        </w:tc>
        <w:tc>
          <w:tcPr>
            <w:tcW w:w="6844" w:type="dxa"/>
          </w:tcPr>
          <w:p w14:paraId="36BAF76D" w14:textId="77777777" w:rsidR="00F70F6C" w:rsidRPr="009C0EAF" w:rsidRDefault="00F70F6C" w:rsidP="00543B13">
            <w:r w:rsidRPr="009C0EAF">
              <w:t>Elementi di valutazione</w:t>
            </w:r>
          </w:p>
        </w:tc>
        <w:tc>
          <w:tcPr>
            <w:tcW w:w="926" w:type="dxa"/>
          </w:tcPr>
          <w:p w14:paraId="3DB2D442" w14:textId="77777777" w:rsidR="00F70F6C" w:rsidRPr="009C0EAF" w:rsidRDefault="00F70F6C" w:rsidP="00543B13">
            <w:pPr>
              <w:jc w:val="center"/>
            </w:pPr>
            <w:r w:rsidRPr="009C0EAF">
              <w:t>Punti</w:t>
            </w:r>
          </w:p>
        </w:tc>
      </w:tr>
      <w:tr w:rsidR="00F70F6C" w:rsidRPr="009C0EAF" w14:paraId="720BE275" w14:textId="77777777" w:rsidTr="00543B13">
        <w:trPr>
          <w:cantSplit/>
          <w:trHeight w:val="227"/>
          <w:tblHeader/>
        </w:trPr>
        <w:tc>
          <w:tcPr>
            <w:tcW w:w="1325" w:type="dxa"/>
            <w:vMerge w:val="restart"/>
            <w:vAlign w:val="center"/>
          </w:tcPr>
          <w:p w14:paraId="7688DF2C" w14:textId="3BB5BFE8" w:rsidR="00F70F6C" w:rsidRPr="009C0EAF" w:rsidRDefault="00F70F6C" w:rsidP="00543B13">
            <w:pPr>
              <w:jc w:val="center"/>
            </w:pPr>
          </w:p>
        </w:tc>
        <w:tc>
          <w:tcPr>
            <w:tcW w:w="6844" w:type="dxa"/>
          </w:tcPr>
          <w:p w14:paraId="7BE693C4" w14:textId="77777777" w:rsidR="00F70F6C" w:rsidRPr="009C0EAF" w:rsidRDefault="00F70F6C" w:rsidP="00543B13">
            <w:bookmarkStart w:id="4" w:name="_Hlk162252500"/>
            <w:r w:rsidRPr="009C0EAF">
              <w:t>L’Ente richiedente è un Comune istituito per fusione di Comuni, successivamente all’entrata in vigore della Legge regionale statutaria 17 aprile 2012, n. 1</w:t>
            </w:r>
            <w:bookmarkEnd w:id="4"/>
            <w:r w:rsidRPr="009C0EAF">
              <w:t>.</w:t>
            </w:r>
          </w:p>
        </w:tc>
        <w:tc>
          <w:tcPr>
            <w:tcW w:w="926" w:type="dxa"/>
          </w:tcPr>
          <w:p w14:paraId="57BFBEE9" w14:textId="17434469" w:rsidR="00F70F6C" w:rsidRPr="009C0EAF" w:rsidRDefault="00F70F6C" w:rsidP="00543B13">
            <w:pPr>
              <w:jc w:val="center"/>
            </w:pPr>
            <w:r w:rsidRPr="004C5A92">
              <w:t>1</w:t>
            </w:r>
            <w:r w:rsidR="00487DD7" w:rsidRPr="004C5A92">
              <w:t>,5</w:t>
            </w:r>
          </w:p>
        </w:tc>
      </w:tr>
      <w:tr w:rsidR="00F70F6C" w:rsidRPr="009C0EAF" w14:paraId="5D615B30" w14:textId="77777777" w:rsidTr="00543B13">
        <w:trPr>
          <w:cantSplit/>
          <w:trHeight w:val="227"/>
          <w:tblHeader/>
        </w:trPr>
        <w:tc>
          <w:tcPr>
            <w:tcW w:w="1325" w:type="dxa"/>
            <w:vMerge/>
            <w:vAlign w:val="center"/>
          </w:tcPr>
          <w:p w14:paraId="4CFB9F56" w14:textId="77777777" w:rsidR="00F70F6C" w:rsidRPr="009C0EAF" w:rsidRDefault="00F70F6C" w:rsidP="0054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844" w:type="dxa"/>
          </w:tcPr>
          <w:p w14:paraId="6C1C7165" w14:textId="77777777" w:rsidR="00F70F6C" w:rsidRPr="009C0EAF" w:rsidRDefault="00F70F6C" w:rsidP="00543B13">
            <w:pPr>
              <w:spacing w:before="240" w:after="240"/>
            </w:pPr>
            <w:bookmarkStart w:id="5" w:name="_Hlk162252512"/>
            <w:r w:rsidRPr="009C0EAF">
              <w:t>L’Ente richiedente appartiene ad una delle seguenti categorie:</w:t>
            </w:r>
          </w:p>
          <w:p w14:paraId="1A3710A7" w14:textId="77777777" w:rsidR="00F70F6C" w:rsidRPr="009C0EAF" w:rsidRDefault="00F70F6C" w:rsidP="00543B13">
            <w:pPr>
              <w:spacing w:before="240" w:after="240"/>
            </w:pPr>
            <w:r w:rsidRPr="009C0EAF">
              <w:t xml:space="preserve">- Unione di Comuni che svolge per conto dei Comuni associati la gestione del patrimonio edilizio, ovvero svolge funzioni o servizi in cui sia compresa la gestione del patrimonio edilizio afferente </w:t>
            </w:r>
            <w:proofErr w:type="gramStart"/>
            <w:r w:rsidRPr="009C0EAF">
              <w:t>l'esercizio</w:t>
            </w:r>
            <w:proofErr w:type="gramEnd"/>
            <w:r w:rsidRPr="009C0EAF">
              <w:t xml:space="preserve"> delle funzioni o dei servizi conferiti;</w:t>
            </w:r>
          </w:p>
          <w:p w14:paraId="4D868BF1" w14:textId="77777777" w:rsidR="00F70F6C" w:rsidRPr="009C0EAF" w:rsidRDefault="00F70F6C" w:rsidP="00543B13">
            <w:pPr>
              <w:spacing w:before="240" w:after="240"/>
            </w:pPr>
            <w:r w:rsidRPr="009C0EAF">
              <w:t>- Unione Montana di cui alla L.R. 28/09/2012, n. 40 alla quale sia stata delegata, da parte dei comuni di appartenenza, la gestione associata di funzioni o servizi in cui sia compresa la gestione del patrimonio edilizio</w:t>
            </w:r>
          </w:p>
          <w:p w14:paraId="3DB37C03" w14:textId="77777777" w:rsidR="00F70F6C" w:rsidRPr="009C0EAF" w:rsidRDefault="00F70F6C" w:rsidP="00543B13">
            <w:r w:rsidRPr="009C0EAF">
              <w:t xml:space="preserve">- Convenzione previste dall’art. 30 del </w:t>
            </w:r>
            <w:proofErr w:type="spellStart"/>
            <w:r w:rsidRPr="009C0EAF">
              <w:t>D.Lvo</w:t>
            </w:r>
            <w:proofErr w:type="spellEnd"/>
            <w:r w:rsidRPr="009C0EAF">
              <w:t xml:space="preserve"> 267/2000 stipulata esclusivamente tra Comuni per l’esercizio associato di funzioni o servizi in cui sia compresa la gestione del patrimonio edilizio</w:t>
            </w:r>
            <w:bookmarkEnd w:id="5"/>
          </w:p>
        </w:tc>
        <w:tc>
          <w:tcPr>
            <w:tcW w:w="926" w:type="dxa"/>
          </w:tcPr>
          <w:p w14:paraId="29A9424D" w14:textId="333963C8" w:rsidR="00F70F6C" w:rsidRPr="009C0EAF" w:rsidRDefault="00F70F6C" w:rsidP="00543B13">
            <w:pPr>
              <w:jc w:val="center"/>
            </w:pPr>
            <w:r w:rsidRPr="009C0EAF">
              <w:t>0,5</w:t>
            </w:r>
          </w:p>
        </w:tc>
      </w:tr>
    </w:tbl>
    <w:p w14:paraId="568A8D7C" w14:textId="280E94E9" w:rsidR="00836848" w:rsidRDefault="00836848" w:rsidP="00836848">
      <w:pPr>
        <w:jc w:val="both"/>
      </w:pPr>
    </w:p>
    <w:p w14:paraId="527386FC" w14:textId="2487CD69" w:rsidR="00534F28" w:rsidRDefault="00534F28" w:rsidP="00534F28">
      <w:pPr>
        <w:pStyle w:val="Paragrafoelenco"/>
        <w:numPr>
          <w:ilvl w:val="0"/>
          <w:numId w:val="14"/>
        </w:numPr>
        <w:jc w:val="both"/>
      </w:pPr>
      <w:r>
        <w:t xml:space="preserve">Nel caso in </w:t>
      </w:r>
      <w:proofErr w:type="gramStart"/>
      <w:r>
        <w:t>cui  l</w:t>
      </w:r>
      <w:r w:rsidRPr="00534F28">
        <w:t>’impianto</w:t>
      </w:r>
      <w:proofErr w:type="gramEnd"/>
      <w:r w:rsidRPr="00534F28">
        <w:t xml:space="preserve"> sportivo oggetto di intervento </w:t>
      </w:r>
      <w:r>
        <w:t>venga</w:t>
      </w:r>
      <w:r w:rsidRPr="00534F28">
        <w:t xml:space="preserve"> utilizzato da almeno 2 comuni </w:t>
      </w:r>
      <w:r w:rsidR="001646B2">
        <w:t xml:space="preserve">limitrofi </w:t>
      </w:r>
      <w:r w:rsidRPr="00534F28">
        <w:t xml:space="preserve">oltre a quello proprietario richiedente, come si evince da Delibera di Giunta </w:t>
      </w:r>
      <w:r w:rsidR="001646B2">
        <w:t xml:space="preserve">da allegare </w:t>
      </w:r>
      <w:r>
        <w:t xml:space="preserve"> verrà assegnato </w:t>
      </w:r>
      <w:r w:rsidR="001646B2">
        <w:t xml:space="preserve">                      </w:t>
      </w:r>
      <w:r>
        <w:t xml:space="preserve">                                                                                                                              punti 1 </w:t>
      </w:r>
    </w:p>
    <w:p w14:paraId="1C62B035" w14:textId="77777777" w:rsidR="00D1034A" w:rsidRDefault="00B0485E" w:rsidP="007B4400">
      <w:pPr>
        <w:jc w:val="both"/>
      </w:pPr>
      <w:r>
        <w:t xml:space="preserve">A parità di punteggio verrà data in graduatoria priorità all'istanza presentata in data ed ora anteriore. </w:t>
      </w:r>
    </w:p>
    <w:p w14:paraId="110E92C9" w14:textId="77777777" w:rsidR="00276590" w:rsidRDefault="00276590" w:rsidP="00935B8C">
      <w:pPr>
        <w:pStyle w:val="Paragrafoelenco"/>
        <w:jc w:val="both"/>
      </w:pPr>
    </w:p>
    <w:p w14:paraId="7721DEF7" w14:textId="77777777" w:rsidR="00276590" w:rsidRPr="00D73345" w:rsidRDefault="00B0485E" w:rsidP="00D73345">
      <w:pPr>
        <w:jc w:val="both"/>
        <w:rPr>
          <w:u w:val="single"/>
        </w:rPr>
      </w:pPr>
      <w:r w:rsidRPr="00D73345">
        <w:rPr>
          <w:u w:val="single"/>
        </w:rPr>
        <w:t xml:space="preserve">Intensità del sostegno della Regione </w:t>
      </w:r>
    </w:p>
    <w:p w14:paraId="6973A18A" w14:textId="3AA4DA3C" w:rsidR="00D73345" w:rsidRPr="00487DD7" w:rsidRDefault="00B0485E" w:rsidP="00D73345">
      <w:pPr>
        <w:jc w:val="both"/>
      </w:pPr>
      <w:r w:rsidRPr="00AE747E">
        <w:t>L’entità massima del c</w:t>
      </w:r>
      <w:r w:rsidR="007B4400" w:rsidRPr="00AE747E">
        <w:t xml:space="preserve">ontributo regionale è </w:t>
      </w:r>
      <w:r w:rsidR="007B4400" w:rsidRPr="00487DD7">
        <w:t xml:space="preserve">pari al </w:t>
      </w:r>
      <w:r w:rsidR="00AE747E" w:rsidRPr="00487DD7">
        <w:t>80</w:t>
      </w:r>
      <w:r w:rsidR="00E16CD7" w:rsidRPr="00487DD7">
        <w:t xml:space="preserve">% </w:t>
      </w:r>
      <w:r w:rsidR="007B4400" w:rsidRPr="00487DD7">
        <w:t>del</w:t>
      </w:r>
      <w:r w:rsidR="005D39D3" w:rsidRPr="00487DD7">
        <w:t xml:space="preserve">la Spesa Ammissibile Totale </w:t>
      </w:r>
      <w:r w:rsidR="007B4400" w:rsidRPr="00487DD7">
        <w:t>(</w:t>
      </w:r>
      <w:r w:rsidR="005D39D3" w:rsidRPr="00487DD7">
        <w:t>SAT</w:t>
      </w:r>
      <w:r w:rsidR="006D7102" w:rsidRPr="00487DD7">
        <w:t>) previst</w:t>
      </w:r>
      <w:r w:rsidR="007516F9" w:rsidRPr="00487DD7">
        <w:t>o</w:t>
      </w:r>
      <w:r w:rsidR="006D7102" w:rsidRPr="00487DD7">
        <w:t xml:space="preserve"> per i lavori </w:t>
      </w:r>
      <w:r w:rsidR="007B4400" w:rsidRPr="00487DD7">
        <w:t>comprensivo</w:t>
      </w:r>
      <w:r w:rsidRPr="00487DD7">
        <w:t xml:space="preserve"> degli oneri per la sicurezza</w:t>
      </w:r>
      <w:r w:rsidR="007B4400" w:rsidRPr="00487DD7">
        <w:t xml:space="preserve">, spese ammissibili </w:t>
      </w:r>
      <w:r w:rsidR="006D7102" w:rsidRPr="00487DD7">
        <w:t>(art. 2 Allegato A</w:t>
      </w:r>
      <w:r w:rsidR="00E54204" w:rsidRPr="00487DD7">
        <w:t>2</w:t>
      </w:r>
      <w:proofErr w:type="gramStart"/>
      <w:r w:rsidR="006D7102" w:rsidRPr="00487DD7">
        <w:t xml:space="preserve">”) </w:t>
      </w:r>
      <w:r w:rsidRPr="00487DD7">
        <w:t xml:space="preserve"> e</w:t>
      </w:r>
      <w:proofErr w:type="gramEnd"/>
      <w:r w:rsidRPr="00487DD7">
        <w:t xml:space="preserve"> della relativa IVA </w:t>
      </w:r>
      <w:r w:rsidRPr="00487DD7">
        <w:lastRenderedPageBreak/>
        <w:t xml:space="preserve">qualora quest'ultima costituisca costo effettivamente a carico del beneficiario. Non sono ammissibili a contributo, e non sono considerate nel </w:t>
      </w:r>
      <w:r w:rsidR="005D39D3" w:rsidRPr="00487DD7">
        <w:t>SAT</w:t>
      </w:r>
      <w:r w:rsidRPr="00487DD7">
        <w:t xml:space="preserve">, le rimanenti voci di costo comprese tra le somme a disposizione dell'Amministrazione. </w:t>
      </w:r>
      <w:r w:rsidR="00D73345" w:rsidRPr="00487DD7">
        <w:t xml:space="preserve">Il contributo regionale in conto capitale potrà essere concesso agli interventi, o lotti </w:t>
      </w:r>
      <w:proofErr w:type="gramStart"/>
      <w:r w:rsidR="00D73345" w:rsidRPr="00487DD7">
        <w:t xml:space="preserve">funzionali </w:t>
      </w:r>
      <w:r w:rsidR="00EC6527" w:rsidRPr="00487DD7">
        <w:t xml:space="preserve"> del</w:t>
      </w:r>
      <w:proofErr w:type="gramEnd"/>
      <w:r w:rsidR="00EC6527" w:rsidRPr="00487DD7">
        <w:t xml:space="preserve"> costo minimo di euro 2</w:t>
      </w:r>
      <w:r w:rsidR="005D39D3" w:rsidRPr="00487DD7">
        <w:t>5</w:t>
      </w:r>
      <w:r w:rsidR="00D73345" w:rsidRPr="00487DD7">
        <w:t xml:space="preserve">.000,00 (incluso ogni onere come da quadro economico del progetto) </w:t>
      </w:r>
      <w:r w:rsidR="004C2862" w:rsidRPr="00487DD7">
        <w:t xml:space="preserve">in </w:t>
      </w:r>
      <w:r w:rsidR="00D73345" w:rsidRPr="00487DD7">
        <w:t>misura pari al</w:t>
      </w:r>
      <w:r w:rsidR="004C2862" w:rsidRPr="00487DD7">
        <w:t xml:space="preserve"> </w:t>
      </w:r>
      <w:r w:rsidR="00AE747E" w:rsidRPr="00487DD7">
        <w:t>8</w:t>
      </w:r>
      <w:r w:rsidR="00D73345" w:rsidRPr="00487DD7">
        <w:t>0</w:t>
      </w:r>
      <w:r w:rsidR="00EC6527" w:rsidRPr="00487DD7">
        <w:t xml:space="preserve">% </w:t>
      </w:r>
      <w:r w:rsidR="005D39D3" w:rsidRPr="00487DD7">
        <w:t xml:space="preserve">della spesa ammissibile totale </w:t>
      </w:r>
      <w:r w:rsidR="00EC6527" w:rsidRPr="00487DD7">
        <w:t>(</w:t>
      </w:r>
      <w:r w:rsidR="005D39D3" w:rsidRPr="00487DD7">
        <w:t>SAT</w:t>
      </w:r>
      <w:r w:rsidR="00EC6527" w:rsidRPr="00487DD7">
        <w:t xml:space="preserve">) </w:t>
      </w:r>
      <w:r w:rsidR="00D73345" w:rsidRPr="00487DD7">
        <w:t xml:space="preserve">e, comunque, entro il limite di contribuzione massimo pari a euro </w:t>
      </w:r>
      <w:r w:rsidR="005D39D3" w:rsidRPr="00487DD7">
        <w:t>1</w:t>
      </w:r>
      <w:r w:rsidR="00D73345" w:rsidRPr="00487DD7">
        <w:t xml:space="preserve">00.000,00 (euro </w:t>
      </w:r>
      <w:r w:rsidR="00EC6527" w:rsidRPr="00487DD7">
        <w:t>cento</w:t>
      </w:r>
      <w:r w:rsidR="00D73345" w:rsidRPr="00487DD7">
        <w:t>mila/00).</w:t>
      </w:r>
    </w:p>
    <w:p w14:paraId="1409160F" w14:textId="77777777" w:rsidR="00276590" w:rsidRPr="00487DD7" w:rsidRDefault="00B0485E" w:rsidP="00D73345">
      <w:pPr>
        <w:jc w:val="both"/>
        <w:rPr>
          <w:u w:val="single"/>
        </w:rPr>
      </w:pPr>
      <w:r w:rsidRPr="00487DD7">
        <w:rPr>
          <w:u w:val="single"/>
        </w:rPr>
        <w:t xml:space="preserve">Assegnazione e modalità di gestione dei contributi </w:t>
      </w:r>
    </w:p>
    <w:p w14:paraId="3B9FF8A5" w14:textId="7DEADA85" w:rsidR="00276590" w:rsidRPr="00D73345" w:rsidRDefault="00B0485E" w:rsidP="00D73345">
      <w:pPr>
        <w:jc w:val="both"/>
      </w:pPr>
      <w:r w:rsidRPr="00487DD7">
        <w:t xml:space="preserve">• </w:t>
      </w:r>
      <w:proofErr w:type="gramStart"/>
      <w:r w:rsidRPr="00487DD7">
        <w:t xml:space="preserve">entro </w:t>
      </w:r>
      <w:r w:rsidR="00276590" w:rsidRPr="00487DD7">
        <w:t xml:space="preserve"> 1</w:t>
      </w:r>
      <w:r w:rsidR="00F70F6C" w:rsidRPr="00487DD7">
        <w:t>20</w:t>
      </w:r>
      <w:proofErr w:type="gramEnd"/>
      <w:r w:rsidR="00276590" w:rsidRPr="00487DD7">
        <w:t xml:space="preserve"> giorni </w:t>
      </w:r>
      <w:r w:rsidRPr="00487DD7">
        <w:t>dalla data di scadenza della presentazione</w:t>
      </w:r>
      <w:r w:rsidRPr="00D73345">
        <w:t xml:space="preserve"> delle istanze, la Giunta Regionale approva, con graduatoria, i risultati del</w:t>
      </w:r>
      <w:r w:rsidR="007D559E" w:rsidRPr="00D73345">
        <w:t xml:space="preserve"> Bando</w:t>
      </w:r>
      <w:r w:rsidR="0096373D" w:rsidRPr="00D73345">
        <w:t xml:space="preserve">, con </w:t>
      </w:r>
      <w:r w:rsidRPr="00D73345">
        <w:t>individuazione dei beneficiari</w:t>
      </w:r>
      <w:r w:rsidR="00F70F6C">
        <w:t xml:space="preserve">. </w:t>
      </w:r>
      <w:r w:rsidRPr="00D73345">
        <w:t xml:space="preserve"> </w:t>
      </w:r>
    </w:p>
    <w:p w14:paraId="03129874" w14:textId="1672A8F2" w:rsidR="00DB4128" w:rsidRPr="00D73345" w:rsidRDefault="00B0485E" w:rsidP="00D73345">
      <w:pPr>
        <w:jc w:val="both"/>
      </w:pPr>
      <w:r w:rsidRPr="00D73345">
        <w:t xml:space="preserve">• </w:t>
      </w:r>
      <w:bookmarkStart w:id="6" w:name="_Hlk162252113"/>
      <w:r w:rsidRPr="00D73345">
        <w:t>entro il termine che verrà fissato con il provvedim</w:t>
      </w:r>
      <w:r w:rsidR="003F1330" w:rsidRPr="00D73345">
        <w:t xml:space="preserve">ento </w:t>
      </w:r>
      <w:bookmarkEnd w:id="6"/>
      <w:r w:rsidR="003F1330" w:rsidRPr="00D73345">
        <w:t xml:space="preserve">di cui sopra </w:t>
      </w:r>
      <w:r w:rsidRPr="00D73345">
        <w:t xml:space="preserve">i beneficiari trasmetteranno la rendicontazione finale dell’intervento, salvo proroghe motivate da inviarsi prima della scadenza, mediante </w:t>
      </w:r>
      <w:proofErr w:type="spellStart"/>
      <w:r w:rsidRPr="00D73345">
        <w:t>pec</w:t>
      </w:r>
      <w:proofErr w:type="spellEnd"/>
      <w:r w:rsidRPr="00D73345">
        <w:t xml:space="preserve"> all’indirizzo </w:t>
      </w:r>
      <w:r w:rsidR="00276590" w:rsidRPr="00D73345">
        <w:t>LLPPedilizia</w:t>
      </w:r>
      <w:r w:rsidRPr="00D73345">
        <w:t xml:space="preserve">@pec.regione.veneto.it nonché alla mail </w:t>
      </w:r>
      <w:proofErr w:type="gramStart"/>
      <w:r w:rsidRPr="00D73345">
        <w:t>impiantistica.sportiva@regione.veneto.it ;</w:t>
      </w:r>
      <w:proofErr w:type="gramEnd"/>
      <w:r w:rsidRPr="00D73345">
        <w:t xml:space="preserve"> il mancato rispetto di tale termine comporta la decadenza dal diritto al contributo; </w:t>
      </w:r>
    </w:p>
    <w:p w14:paraId="7B6F4AB1" w14:textId="3FB31CC4" w:rsidR="00276590" w:rsidRPr="00D73345" w:rsidRDefault="00B0485E" w:rsidP="00D73345">
      <w:pPr>
        <w:jc w:val="both"/>
      </w:pPr>
      <w:r w:rsidRPr="00D73345">
        <w:t xml:space="preserve">• le modalità di gestione dei contributi sono stabilite nello schema di direttiva, Allegato </w:t>
      </w:r>
      <w:r w:rsidR="001D5C13" w:rsidRPr="00D73345">
        <w:t>A</w:t>
      </w:r>
      <w:proofErr w:type="gramStart"/>
      <w:r w:rsidR="001D5C13" w:rsidRPr="00D73345">
        <w:t>2</w:t>
      </w:r>
      <w:r w:rsidR="00DB4128" w:rsidRPr="00D73345">
        <w:t xml:space="preserve"> ”</w:t>
      </w:r>
      <w:r w:rsidR="00DB4128" w:rsidRPr="00D73345">
        <w:rPr>
          <w:i/>
        </w:rPr>
        <w:t>Schema</w:t>
      </w:r>
      <w:proofErr w:type="gramEnd"/>
      <w:r w:rsidR="00DB4128" w:rsidRPr="00D73345">
        <w:rPr>
          <w:i/>
        </w:rPr>
        <w:t xml:space="preserve"> di direttiva regolante i rapporti tra la Regione del Veneto ed il beneficiario dei contributi regionali per il sostegno finanziario a favore di opere di miglioria, anche strutturale, di impianti</w:t>
      </w:r>
      <w:r w:rsidR="005D39D3">
        <w:rPr>
          <w:i/>
        </w:rPr>
        <w:t xml:space="preserve"> </w:t>
      </w:r>
      <w:r w:rsidR="006D7102" w:rsidRPr="00D73345">
        <w:rPr>
          <w:i/>
        </w:rPr>
        <w:t>– Anno 2024</w:t>
      </w:r>
      <w:r w:rsidR="00DB4128" w:rsidRPr="00D73345">
        <w:t xml:space="preserve">” </w:t>
      </w:r>
      <w:r w:rsidRPr="00D73345">
        <w:t>al  provvedimento</w:t>
      </w:r>
      <w:r w:rsidR="004270DE" w:rsidRPr="00D73345">
        <w:t xml:space="preserve"> di approvazione del presente Bando</w:t>
      </w:r>
      <w:r w:rsidRPr="00D73345">
        <w:t xml:space="preserve">; </w:t>
      </w:r>
    </w:p>
    <w:p w14:paraId="77915D1D" w14:textId="3F51F9C6" w:rsidR="00276590" w:rsidRPr="00D73345" w:rsidRDefault="00B0485E" w:rsidP="00D73345">
      <w:pPr>
        <w:jc w:val="both"/>
      </w:pPr>
      <w:r w:rsidRPr="00D73345">
        <w:t xml:space="preserve">• non sono ammesse modifiche dell'oggetto dell'intervento in relazione al quale è stata presentata istanza di </w:t>
      </w:r>
      <w:r w:rsidRPr="000C7879">
        <w:t>contributo</w:t>
      </w:r>
      <w:r w:rsidR="00A52E52" w:rsidRPr="000C7879">
        <w:t>, pena decadenza d</w:t>
      </w:r>
      <w:r w:rsidR="00BD566A" w:rsidRPr="000C7879">
        <w:t>e</w:t>
      </w:r>
      <w:r w:rsidR="00A52E52" w:rsidRPr="000C7879">
        <w:t>l beneficio;</w:t>
      </w:r>
      <w:r w:rsidRPr="00D73345">
        <w:t xml:space="preserve"> </w:t>
      </w:r>
    </w:p>
    <w:p w14:paraId="1EAE1933" w14:textId="0AD1B3C8" w:rsidR="00276590" w:rsidRDefault="00B0485E" w:rsidP="00D73345">
      <w:pPr>
        <w:jc w:val="both"/>
      </w:pPr>
      <w:r w:rsidRPr="00D73345">
        <w:t>• i beneficiari devono affidare i lavori e realizzare l’intervento nel rispetto delle procedure previste dalla vigente normativa comunitaria, nazionale e regionale</w:t>
      </w:r>
      <w:r w:rsidR="00AC6302">
        <w:t>.</w:t>
      </w:r>
      <w:r>
        <w:t xml:space="preserve"> </w:t>
      </w:r>
    </w:p>
    <w:p w14:paraId="65DD1E30" w14:textId="77777777" w:rsidR="00AC6302" w:rsidRDefault="00AC6302" w:rsidP="00D73345">
      <w:pPr>
        <w:jc w:val="both"/>
      </w:pPr>
    </w:p>
    <w:p w14:paraId="3D204B9B" w14:textId="77777777" w:rsidR="001938F4" w:rsidRDefault="001938F4" w:rsidP="00935B8C">
      <w:pPr>
        <w:pStyle w:val="Paragrafoelenco"/>
        <w:jc w:val="both"/>
      </w:pPr>
    </w:p>
    <w:sectPr w:rsidR="00193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DEEEF5F2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  <w:rPr>
        <w:rFonts w:ascii="Times New Roman" w:hAnsi="Times New Roman" w:cs="Times New Roman"/>
        <w:color w:val="auto"/>
        <w:sz w:val="22"/>
        <w:szCs w:val="22"/>
      </w:rPr>
    </w:lvl>
  </w:abstractNum>
  <w:abstractNum w:abstractNumId="1" w15:restartNumberingAfterBreak="0">
    <w:nsid w:val="01A842D9"/>
    <w:multiLevelType w:val="hybridMultilevel"/>
    <w:tmpl w:val="643849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273"/>
    <w:multiLevelType w:val="hybridMultilevel"/>
    <w:tmpl w:val="086EA3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785"/>
    <w:multiLevelType w:val="hybridMultilevel"/>
    <w:tmpl w:val="197E3E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7AF1"/>
    <w:multiLevelType w:val="hybridMultilevel"/>
    <w:tmpl w:val="9AB0C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5A57"/>
    <w:multiLevelType w:val="hybridMultilevel"/>
    <w:tmpl w:val="C506ECA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435E"/>
    <w:multiLevelType w:val="hybridMultilevel"/>
    <w:tmpl w:val="7450B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926C4"/>
    <w:multiLevelType w:val="hybridMultilevel"/>
    <w:tmpl w:val="3BF8F7CE"/>
    <w:lvl w:ilvl="0" w:tplc="B694DC66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25EB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6B006">
      <w:start w:val="1"/>
      <w:numFmt w:val="bullet"/>
      <w:lvlText w:val="▪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ED2D2">
      <w:start w:val="1"/>
      <w:numFmt w:val="bullet"/>
      <w:lvlText w:val="•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08F74">
      <w:start w:val="1"/>
      <w:numFmt w:val="bullet"/>
      <w:lvlText w:val="o"/>
      <w:lvlJc w:val="left"/>
      <w:pPr>
        <w:ind w:left="2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2B0F0">
      <w:start w:val="1"/>
      <w:numFmt w:val="bullet"/>
      <w:lvlText w:val="▪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A36A">
      <w:start w:val="1"/>
      <w:numFmt w:val="bullet"/>
      <w:lvlText w:val="•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28358">
      <w:start w:val="1"/>
      <w:numFmt w:val="bullet"/>
      <w:lvlText w:val="o"/>
      <w:lvlJc w:val="left"/>
      <w:pPr>
        <w:ind w:left="4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73FC">
      <w:start w:val="1"/>
      <w:numFmt w:val="bullet"/>
      <w:lvlText w:val="▪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CA7495"/>
    <w:multiLevelType w:val="hybridMultilevel"/>
    <w:tmpl w:val="9858D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1C3D"/>
    <w:multiLevelType w:val="hybridMultilevel"/>
    <w:tmpl w:val="13BC5D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C0273"/>
    <w:multiLevelType w:val="hybridMultilevel"/>
    <w:tmpl w:val="ADD8CC10"/>
    <w:lvl w:ilvl="0" w:tplc="1D2EC424">
      <w:start w:val="1"/>
      <w:numFmt w:val="upperLetter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7786369"/>
    <w:multiLevelType w:val="hybridMultilevel"/>
    <w:tmpl w:val="73B2E48C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5C0839"/>
    <w:multiLevelType w:val="hybridMultilevel"/>
    <w:tmpl w:val="2B8ABB38"/>
    <w:lvl w:ilvl="0" w:tplc="DCD46422">
      <w:start w:val="1"/>
      <w:numFmt w:val="bullet"/>
      <w:lvlText w:val="-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E585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48CFA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27DA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0A276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9E94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C7598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E7DEE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AC068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A737A0"/>
    <w:multiLevelType w:val="hybridMultilevel"/>
    <w:tmpl w:val="145C927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03DA"/>
    <w:multiLevelType w:val="hybridMultilevel"/>
    <w:tmpl w:val="1C10DD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C095F"/>
    <w:multiLevelType w:val="hybridMultilevel"/>
    <w:tmpl w:val="41A01E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2"/>
  </w:num>
  <w:num w:numId="13">
    <w:abstractNumId w:val="11"/>
  </w:num>
  <w:num w:numId="14">
    <w:abstractNumId w:val="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5E"/>
    <w:rsid w:val="00037F6F"/>
    <w:rsid w:val="00052347"/>
    <w:rsid w:val="000609A1"/>
    <w:rsid w:val="000712F9"/>
    <w:rsid w:val="00084508"/>
    <w:rsid w:val="000879B0"/>
    <w:rsid w:val="00095692"/>
    <w:rsid w:val="00095760"/>
    <w:rsid w:val="000C7879"/>
    <w:rsid w:val="000C7CE7"/>
    <w:rsid w:val="000C7DB1"/>
    <w:rsid w:val="0010102F"/>
    <w:rsid w:val="00110612"/>
    <w:rsid w:val="00120757"/>
    <w:rsid w:val="0014236F"/>
    <w:rsid w:val="001646B2"/>
    <w:rsid w:val="00167F4C"/>
    <w:rsid w:val="001851E4"/>
    <w:rsid w:val="00193794"/>
    <w:rsid w:val="001938F4"/>
    <w:rsid w:val="0019724F"/>
    <w:rsid w:val="001A658C"/>
    <w:rsid w:val="001B3465"/>
    <w:rsid w:val="001D5C13"/>
    <w:rsid w:val="00202431"/>
    <w:rsid w:val="002314B6"/>
    <w:rsid w:val="0023637E"/>
    <w:rsid w:val="002472EB"/>
    <w:rsid w:val="00253F66"/>
    <w:rsid w:val="00264BBA"/>
    <w:rsid w:val="00276590"/>
    <w:rsid w:val="002774B2"/>
    <w:rsid w:val="002A69CA"/>
    <w:rsid w:val="002B2FFD"/>
    <w:rsid w:val="002C51DA"/>
    <w:rsid w:val="002E4283"/>
    <w:rsid w:val="00316F2C"/>
    <w:rsid w:val="00340EE4"/>
    <w:rsid w:val="00352E26"/>
    <w:rsid w:val="00374938"/>
    <w:rsid w:val="00392788"/>
    <w:rsid w:val="00394382"/>
    <w:rsid w:val="003A1551"/>
    <w:rsid w:val="003D0CD7"/>
    <w:rsid w:val="003E3911"/>
    <w:rsid w:val="003E4B0D"/>
    <w:rsid w:val="003F1330"/>
    <w:rsid w:val="00413BF5"/>
    <w:rsid w:val="004270DE"/>
    <w:rsid w:val="00427226"/>
    <w:rsid w:val="00443347"/>
    <w:rsid w:val="004750F3"/>
    <w:rsid w:val="004844E5"/>
    <w:rsid w:val="00487DD7"/>
    <w:rsid w:val="004C2862"/>
    <w:rsid w:val="004C5A92"/>
    <w:rsid w:val="004D0E24"/>
    <w:rsid w:val="004D5CDB"/>
    <w:rsid w:val="00534F28"/>
    <w:rsid w:val="005553B9"/>
    <w:rsid w:val="00561844"/>
    <w:rsid w:val="005826AC"/>
    <w:rsid w:val="005B7CCD"/>
    <w:rsid w:val="005D39D3"/>
    <w:rsid w:val="005F2019"/>
    <w:rsid w:val="005F4F31"/>
    <w:rsid w:val="00630317"/>
    <w:rsid w:val="0068141C"/>
    <w:rsid w:val="00692233"/>
    <w:rsid w:val="006A3AEF"/>
    <w:rsid w:val="006B3F0B"/>
    <w:rsid w:val="006C2862"/>
    <w:rsid w:val="006D7102"/>
    <w:rsid w:val="006F349F"/>
    <w:rsid w:val="0070431B"/>
    <w:rsid w:val="00706594"/>
    <w:rsid w:val="00707E55"/>
    <w:rsid w:val="007516F9"/>
    <w:rsid w:val="0075538A"/>
    <w:rsid w:val="007967CE"/>
    <w:rsid w:val="007A62E2"/>
    <w:rsid w:val="007B4400"/>
    <w:rsid w:val="007C4E10"/>
    <w:rsid w:val="007C78FC"/>
    <w:rsid w:val="007D559E"/>
    <w:rsid w:val="007E226A"/>
    <w:rsid w:val="00816BC2"/>
    <w:rsid w:val="0083141A"/>
    <w:rsid w:val="00836848"/>
    <w:rsid w:val="0084652F"/>
    <w:rsid w:val="0085440D"/>
    <w:rsid w:val="008563E8"/>
    <w:rsid w:val="0087738D"/>
    <w:rsid w:val="00895B70"/>
    <w:rsid w:val="008D655C"/>
    <w:rsid w:val="008E5889"/>
    <w:rsid w:val="008F0BF8"/>
    <w:rsid w:val="00935B8C"/>
    <w:rsid w:val="00941D5C"/>
    <w:rsid w:val="00951BDE"/>
    <w:rsid w:val="0096373D"/>
    <w:rsid w:val="00997C34"/>
    <w:rsid w:val="009B5C26"/>
    <w:rsid w:val="009C0EAF"/>
    <w:rsid w:val="009C3112"/>
    <w:rsid w:val="009C4E23"/>
    <w:rsid w:val="009D2BAD"/>
    <w:rsid w:val="009E2085"/>
    <w:rsid w:val="00A00E64"/>
    <w:rsid w:val="00A16810"/>
    <w:rsid w:val="00A43B00"/>
    <w:rsid w:val="00A52E52"/>
    <w:rsid w:val="00A77EEE"/>
    <w:rsid w:val="00A93DCB"/>
    <w:rsid w:val="00A9460D"/>
    <w:rsid w:val="00AB735B"/>
    <w:rsid w:val="00AC5235"/>
    <w:rsid w:val="00AC6302"/>
    <w:rsid w:val="00AE508D"/>
    <w:rsid w:val="00AE747E"/>
    <w:rsid w:val="00AF5AB6"/>
    <w:rsid w:val="00B009AF"/>
    <w:rsid w:val="00B0485E"/>
    <w:rsid w:val="00B30939"/>
    <w:rsid w:val="00B63B46"/>
    <w:rsid w:val="00B853DC"/>
    <w:rsid w:val="00B946BA"/>
    <w:rsid w:val="00BD566A"/>
    <w:rsid w:val="00BE0651"/>
    <w:rsid w:val="00BE70ED"/>
    <w:rsid w:val="00C247D2"/>
    <w:rsid w:val="00C2617E"/>
    <w:rsid w:val="00C61E27"/>
    <w:rsid w:val="00CC2337"/>
    <w:rsid w:val="00CC4D96"/>
    <w:rsid w:val="00CD4058"/>
    <w:rsid w:val="00CE23D4"/>
    <w:rsid w:val="00CE6B78"/>
    <w:rsid w:val="00D1034A"/>
    <w:rsid w:val="00D25F70"/>
    <w:rsid w:val="00D424AB"/>
    <w:rsid w:val="00D73345"/>
    <w:rsid w:val="00DB4128"/>
    <w:rsid w:val="00DF73BF"/>
    <w:rsid w:val="00E16CD7"/>
    <w:rsid w:val="00E24C49"/>
    <w:rsid w:val="00E37D91"/>
    <w:rsid w:val="00E54204"/>
    <w:rsid w:val="00E548B7"/>
    <w:rsid w:val="00E66DD8"/>
    <w:rsid w:val="00E9125E"/>
    <w:rsid w:val="00EC6527"/>
    <w:rsid w:val="00F15979"/>
    <w:rsid w:val="00F250D2"/>
    <w:rsid w:val="00F47C16"/>
    <w:rsid w:val="00F54B41"/>
    <w:rsid w:val="00F64ED9"/>
    <w:rsid w:val="00F70F6C"/>
    <w:rsid w:val="00F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A7EB"/>
  <w15:docId w15:val="{20E25916-3A33-445E-885D-3B975958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6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6590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rsid w:val="00DB4128"/>
    <w:pPr>
      <w:spacing w:after="12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B4128"/>
    <w:rPr>
      <w:rFonts w:ascii="Arial" w:eastAsia="Times New Roman" w:hAnsi="Arial" w:cs="Arial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25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733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33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33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33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3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A99C-67D8-4699-BE16-11632144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Lucia Bagnoli</cp:lastModifiedBy>
  <cp:revision>26</cp:revision>
  <cp:lastPrinted>2024-03-07T10:38:00Z</cp:lastPrinted>
  <dcterms:created xsi:type="dcterms:W3CDTF">2024-03-07T10:29:00Z</dcterms:created>
  <dcterms:modified xsi:type="dcterms:W3CDTF">2024-04-08T08:00:00Z</dcterms:modified>
</cp:coreProperties>
</file>