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C68" w:rsidRDefault="00956CC2" w:rsidP="003E6479">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2"/>
          <w:szCs w:val="22"/>
          <w:u w:val="single"/>
        </w:rPr>
      </w:pPr>
      <w:r>
        <w:rPr>
          <w:noProof/>
          <w:color w:val="000000"/>
          <w:sz w:val="22"/>
          <w:szCs w:val="22"/>
        </w:rPr>
        <w:drawing>
          <wp:inline distT="0" distB="0" distL="0" distR="0">
            <wp:extent cx="6120130" cy="923254"/>
            <wp:effectExtent l="0" t="0" r="0" b="0"/>
            <wp:docPr id="1029" name="image2.png" descr="https://lh3.googleusercontent.com/NZnHhWOOtEJtaMs8Mn1PGrAus2lG62RFiMqeZJCHc07v23LWEfrOLf0Lr8JDt5thU3G2M8iVVusvh8l8J1okv_RUQ8EXm2jC1U7TmMqU4uVYl03zCDjBxAeoSgxApnZaml9bcTdFmb7z"/>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NZnHhWOOtEJtaMs8Mn1PGrAus2lG62RFiMqeZJCHc07v23LWEfrOLf0Lr8JDt5thU3G2M8iVVusvh8l8J1okv_RUQ8EXm2jC1U7TmMqU4uVYl03zCDjBxAeoSgxApnZaml9bcTdFmb7z"/>
                    <pic:cNvPicPr preferRelativeResize="0"/>
                  </pic:nvPicPr>
                  <pic:blipFill>
                    <a:blip r:embed="rId8"/>
                    <a:srcRect/>
                    <a:stretch>
                      <a:fillRect/>
                    </a:stretch>
                  </pic:blipFill>
                  <pic:spPr>
                    <a:xfrm>
                      <a:off x="0" y="0"/>
                      <a:ext cx="6120130" cy="923254"/>
                    </a:xfrm>
                    <a:prstGeom prst="rect">
                      <a:avLst/>
                    </a:prstGeom>
                    <a:ln/>
                  </pic:spPr>
                </pic:pic>
              </a:graphicData>
            </a:graphic>
          </wp:inline>
        </w:drawing>
      </w:r>
    </w:p>
    <w:p w:rsidR="008E2C68" w:rsidRDefault="008E2C6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u w:val="single"/>
        </w:rPr>
      </w:pP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u w:val="single"/>
        </w:rPr>
      </w:pPr>
      <w:r>
        <w:rPr>
          <w:rFonts w:ascii="Times New Roman" w:eastAsia="Times New Roman" w:hAnsi="Times New Roman" w:cs="Times New Roman"/>
          <w:color w:val="000000"/>
          <w:sz w:val="22"/>
          <w:szCs w:val="22"/>
          <w:u w:val="single"/>
        </w:rPr>
        <w:t>DA INSERIRE NELLA BUSTA N. 1 (documentazione amministrativa)</w:t>
      </w:r>
    </w:p>
    <w:p w:rsidR="008E2C68" w:rsidRDefault="008E2C68">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u w:val="single"/>
        </w:rPr>
      </w:pPr>
    </w:p>
    <w:p w:rsidR="00344B76" w:rsidRPr="00545103" w:rsidRDefault="00344B76" w:rsidP="00344B76">
      <w:pPr>
        <w:spacing w:line="240" w:lineRule="auto"/>
        <w:ind w:left="0" w:hanging="2"/>
        <w:jc w:val="both"/>
        <w:rPr>
          <w:rFonts w:ascii="Times New Roman" w:eastAsia="Times New Roman" w:hAnsi="Times New Roman" w:cs="Times New Roman"/>
          <w:b/>
          <w:sz w:val="22"/>
          <w:szCs w:val="22"/>
        </w:rPr>
      </w:pPr>
      <w:r w:rsidRPr="00545103">
        <w:rPr>
          <w:rFonts w:ascii="Times New Roman" w:eastAsia="Times New Roman" w:hAnsi="Times New Roman" w:cs="Times New Roman"/>
          <w:b/>
          <w:sz w:val="22"/>
          <w:szCs w:val="22"/>
        </w:rPr>
        <w:t>GARA D’APPALTO A PROCEDURA APERTA, AI SENSI DEL D.LGS. N. 36/2023, PER L’AFFIDAMENTO DEL SERVIZIO DI IDEAZIONE E REALIZZAZIONE DEGLI INTERVENTI DI INFORMAZIONE E PUBBLICITA’ DEL PR VENETO FSE+ 2021 – 2027 E DEL PR VENETO FESR 2021 – 2027. CIG A02C24991F</w:t>
      </w:r>
    </w:p>
    <w:p w:rsidR="008E2C68" w:rsidRDefault="008E2C68">
      <w:pPr>
        <w:ind w:left="0" w:hanging="2"/>
        <w:jc w:val="both"/>
        <w:rPr>
          <w:rFonts w:ascii="Times New Roman" w:eastAsia="Times New Roman" w:hAnsi="Times New Roman" w:cs="Times New Roman"/>
          <w:b/>
          <w:sz w:val="22"/>
          <w:szCs w:val="22"/>
        </w:rPr>
      </w:pPr>
    </w:p>
    <w:p w:rsidR="00344B76" w:rsidRDefault="00344B76">
      <w:pPr>
        <w:ind w:left="0" w:hanging="2"/>
        <w:jc w:val="both"/>
        <w:rPr>
          <w:rFonts w:ascii="Times New Roman" w:eastAsia="Times New Roman" w:hAnsi="Times New Roman" w:cs="Times New Roman"/>
          <w:b/>
          <w:sz w:val="22"/>
          <w:szCs w:val="22"/>
        </w:rPr>
      </w:pP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DICHIARAZIONE SOSTITUTIVA DI ATTO DI NOTORIETÀ</w:t>
      </w: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INTEGRATIVA DEL DGUE DELL’IMPRESA AUSILIARIA </w:t>
      </w: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(Artt.  46 e 47 D.P.R. n. 445/2000)</w:t>
      </w:r>
    </w:p>
    <w:p w:rsidR="008E2C68" w:rsidRDefault="008E2C6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rPr>
      </w:pP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Il/la sottoscritto/a _________________________________________________________ </w:t>
      </w: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nato a _________________________________ (________________), il ______________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residente a _________________________________________________________ (____),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Via ________________________________________________________________, n. __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nome del concorrente “_________________________________________________</w:t>
      </w:r>
      <w:proofErr w:type="gramStart"/>
      <w:r>
        <w:rPr>
          <w:rFonts w:ascii="Times New Roman" w:eastAsia="Times New Roman" w:hAnsi="Times New Roman" w:cs="Times New Roman"/>
          <w:color w:val="000000"/>
          <w:sz w:val="22"/>
          <w:szCs w:val="22"/>
        </w:rPr>
        <w:t>_“</w:t>
      </w:r>
      <w:proofErr w:type="gramEnd"/>
      <w:r>
        <w:rPr>
          <w:rFonts w:ascii="Times New Roman" w:eastAsia="Times New Roman" w:hAnsi="Times New Roman" w:cs="Times New Roman"/>
          <w:color w:val="000000"/>
          <w:sz w:val="22"/>
          <w:szCs w:val="22"/>
        </w:rPr>
        <w:t xml:space="preserve">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 sede legale in __________________________________________________ (_____),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Via _________________________________________________________, n. ________,</w:t>
      </w: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b/>
          <w:color w:val="000000"/>
          <w:sz w:val="22"/>
          <w:szCs w:val="22"/>
        </w:rPr>
      </w:pP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nella sua qualità di: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(barrare la casella che interessa) </w:t>
      </w:r>
    </w:p>
    <w:p w:rsidR="008E2C68" w:rsidRDefault="00956CC2">
      <w:pPr>
        <w:pBdr>
          <w:top w:val="nil"/>
          <w:left w:val="nil"/>
          <w:bottom w:val="nil"/>
          <w:right w:val="nil"/>
          <w:between w:val="nil"/>
        </w:pBdr>
        <w:spacing w:after="19"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Titolare o Legale rappresentante </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Procuratore speciale / generale </w:t>
      </w: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che partecipa alla gara in oggetto nella sua qualità di IMPRESA AUSILIARIA </w:t>
      </w:r>
    </w:p>
    <w:p w:rsidR="008E2C68" w:rsidRDefault="008E2C68">
      <w:pPr>
        <w:pBdr>
          <w:top w:val="nil"/>
          <w:left w:val="nil"/>
          <w:bottom w:val="nil"/>
          <w:right w:val="nil"/>
          <w:between w:val="nil"/>
        </w:pBdr>
        <w:spacing w:line="240" w:lineRule="auto"/>
        <w:ind w:left="1" w:hanging="3"/>
        <w:jc w:val="center"/>
        <w:rPr>
          <w:rFonts w:ascii="Times New Roman" w:eastAsia="Times New Roman" w:hAnsi="Times New Roman" w:cs="Times New Roman"/>
          <w:sz w:val="28"/>
          <w:szCs w:val="28"/>
        </w:rPr>
      </w:pP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consapevole delle sanzioni penali previste dall’articolo 76 del D.P.R. 28.12.2000, n. 445,</w:t>
      </w: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per le ipotesi di falsità in atti e dichiarazioni mendaci ivi indicate,</w:t>
      </w: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DICHIARA</w:t>
      </w: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completa denominazione dell’impresa ausiliaria è:</w:t>
      </w:r>
      <w:r>
        <w:rPr>
          <w:sz w:val="22"/>
          <w:szCs w:val="22"/>
        </w:rPr>
        <w:t xml:space="preserve"> </w:t>
      </w:r>
      <w:r>
        <w:rPr>
          <w:rFonts w:ascii="Times New Roman" w:eastAsia="Times New Roman" w:hAnsi="Times New Roman" w:cs="Times New Roman"/>
          <w:color w:val="000000"/>
          <w:sz w:val="22"/>
          <w:szCs w:val="22"/>
        </w:rPr>
        <w:t>_______________________________________________________________________________________;</w:t>
      </w:r>
    </w:p>
    <w:p w:rsidR="008E2C68" w:rsidRDefault="00956CC2">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natura (pubblica o privata o mista) e forma giuridica dell’impresa ausiliaria sono</w:t>
      </w:r>
      <w:r>
        <w:rPr>
          <w:sz w:val="22"/>
          <w:szCs w:val="22"/>
        </w:rPr>
        <w:t xml:space="preserve"> </w:t>
      </w:r>
      <w:r>
        <w:rPr>
          <w:rFonts w:ascii="Times New Roman" w:eastAsia="Times New Roman" w:hAnsi="Times New Roman" w:cs="Times New Roman"/>
          <w:color w:val="000000"/>
          <w:sz w:val="22"/>
          <w:szCs w:val="22"/>
        </w:rPr>
        <w:t>_______________________________________________________________________________________;</w:t>
      </w:r>
    </w:p>
    <w:p w:rsidR="008E2C68" w:rsidRDefault="00956C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data di costituzione dell’impresa ausiliaria è: _____</w:t>
      </w:r>
      <w:r>
        <w:rPr>
          <w:rFonts w:ascii="Times New Roman" w:eastAsia="Times New Roman" w:hAnsi="Times New Roman" w:cs="Times New Roman"/>
          <w:sz w:val="22"/>
          <w:szCs w:val="22"/>
        </w:rPr>
        <w:t>__</w:t>
      </w:r>
      <w:r>
        <w:rPr>
          <w:rFonts w:ascii="Times New Roman" w:eastAsia="Times New Roman" w:hAnsi="Times New Roman" w:cs="Times New Roman"/>
          <w:color w:val="000000"/>
          <w:sz w:val="22"/>
          <w:szCs w:val="22"/>
        </w:rPr>
        <w:t>_____________________________________;</w:t>
      </w:r>
    </w:p>
    <w:p w:rsidR="008E2C68" w:rsidRDefault="00956C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sede operativa dell’impresa ausiliaria è ______________</w:t>
      </w:r>
      <w:r>
        <w:rPr>
          <w:rFonts w:ascii="Times New Roman" w:eastAsia="Times New Roman" w:hAnsi="Times New Roman" w:cs="Times New Roman"/>
          <w:sz w:val="22"/>
          <w:szCs w:val="22"/>
        </w:rPr>
        <w:t>____________</w:t>
      </w:r>
      <w:r>
        <w:rPr>
          <w:rFonts w:ascii="Times New Roman" w:eastAsia="Times New Roman" w:hAnsi="Times New Roman" w:cs="Times New Roman"/>
          <w:color w:val="000000"/>
          <w:sz w:val="22"/>
          <w:szCs w:val="22"/>
        </w:rPr>
        <w:t>______________________;</w:t>
      </w:r>
    </w:p>
    <w:p w:rsidR="008E2C68" w:rsidRDefault="00956C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che il relativo numero di Codice fiscale è _________________;</w:t>
      </w:r>
    </w:p>
    <w:p w:rsidR="008E2C68" w:rsidRDefault="00956C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il relativo numero di P</w:t>
      </w:r>
      <w:r>
        <w:rPr>
          <w:rFonts w:ascii="Times New Roman" w:eastAsia="Times New Roman" w:hAnsi="Times New Roman" w:cs="Times New Roman"/>
          <w:sz w:val="22"/>
          <w:szCs w:val="22"/>
        </w:rPr>
        <w:t xml:space="preserve">artita </w:t>
      </w:r>
      <w:r>
        <w:rPr>
          <w:rFonts w:ascii="Times New Roman" w:eastAsia="Times New Roman" w:hAnsi="Times New Roman" w:cs="Times New Roman"/>
          <w:color w:val="000000"/>
          <w:sz w:val="22"/>
          <w:szCs w:val="22"/>
        </w:rPr>
        <w:t>IVA è: ___________________;</w:t>
      </w:r>
    </w:p>
    <w:p w:rsidR="008E2C68" w:rsidRDefault="00956C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il relativo numero di posizione INPS è: ________________;</w:t>
      </w:r>
    </w:p>
    <w:p w:rsidR="008E2C68" w:rsidRDefault="00956CC2">
      <w:pPr>
        <w:pBdr>
          <w:top w:val="nil"/>
          <w:left w:val="nil"/>
          <w:bottom w:val="nil"/>
          <w:right w:val="nil"/>
          <w:between w:val="nil"/>
        </w:pBdr>
        <w:spacing w:after="120" w:line="240" w:lineRule="auto"/>
        <w:ind w:left="0" w:hanging="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che </w:t>
      </w:r>
      <w:r>
        <w:rPr>
          <w:rFonts w:ascii="Times New Roman" w:eastAsia="Times New Roman" w:hAnsi="Times New Roman" w:cs="Times New Roman"/>
          <w:color w:val="000000"/>
          <w:sz w:val="22"/>
          <w:szCs w:val="22"/>
        </w:rPr>
        <w:t>il relativo numero di posizione INAIL è:</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_______________</w:t>
      </w:r>
      <w:r>
        <w:rPr>
          <w:rFonts w:ascii="Times New Roman" w:eastAsia="Times New Roman" w:hAnsi="Times New Roman" w:cs="Times New Roman"/>
          <w:sz w:val="22"/>
          <w:szCs w:val="22"/>
        </w:rPr>
        <w:t>;</w:t>
      </w:r>
    </w:p>
    <w:p w:rsidR="008E2C68" w:rsidRDefault="00956CC2">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che l’indirizzo di posta elettronica certificata (PEC) al quale la Stazione appaltante può effettuare le comunicazioni connesse alla procedura di gara è </w:t>
      </w:r>
      <w:bookmarkStart w:id="0" w:name="_GoBack"/>
      <w:bookmarkEnd w:id="0"/>
      <w:r>
        <w:rPr>
          <w:rFonts w:ascii="Times New Roman" w:eastAsia="Times New Roman" w:hAnsi="Times New Roman" w:cs="Times New Roman"/>
          <w:color w:val="000000"/>
          <w:sz w:val="22"/>
          <w:szCs w:val="22"/>
        </w:rPr>
        <w:t xml:space="preserve">_______________________________________________; </w:t>
      </w:r>
    </w:p>
    <w:p w:rsidR="008E2C68" w:rsidRDefault="00956CC2">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di essere autorizzato alla sottoscrizione degli atti relativi al procedimento di gara;</w:t>
      </w:r>
    </w:p>
    <w:p w:rsidR="008E2C68" w:rsidRDefault="00956CC2">
      <w:pPr>
        <w:pBdr>
          <w:top w:val="nil"/>
          <w:left w:val="nil"/>
          <w:bottom w:val="nil"/>
          <w:right w:val="nil"/>
          <w:between w:val="nil"/>
        </w:pBdr>
        <w:tabs>
          <w:tab w:val="left" w:pos="2680"/>
        </w:tabs>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non è incorso in una delle cause d’esclusione previste dall’articolo 57, paragrafo 1, della direttiva 2014/24/UE e precisamente:</w:t>
      </w:r>
    </w:p>
    <w:p w:rsidR="008E2C68" w:rsidRDefault="00956CC2">
      <w:pPr>
        <w:numPr>
          <w:ilvl w:val="0"/>
          <w:numId w:val="1"/>
        </w:num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Partecipazione ad un’organizzazione criminale (</w:t>
      </w:r>
      <w:r>
        <w:rPr>
          <w:rFonts w:ascii="Times New Roman" w:eastAsia="Times New Roman" w:hAnsi="Times New Roman" w:cs="Times New Roman"/>
          <w:color w:val="000000"/>
          <w:sz w:val="22"/>
          <w:szCs w:val="22"/>
          <w:vertAlign w:val="superscript"/>
        </w:rPr>
        <w:footnoteReference w:id="1"/>
      </w:r>
      <w:r>
        <w:rPr>
          <w:rFonts w:ascii="Times New Roman" w:eastAsia="Times New Roman" w:hAnsi="Times New Roman" w:cs="Times New Roman"/>
          <w:color w:val="000000"/>
          <w:sz w:val="22"/>
          <w:szCs w:val="22"/>
        </w:rPr>
        <w:t>);</w:t>
      </w:r>
    </w:p>
    <w:p w:rsidR="008E2C68" w:rsidRDefault="00956CC2">
      <w:pPr>
        <w:numPr>
          <w:ilvl w:val="0"/>
          <w:numId w:val="1"/>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Corruzione (</w:t>
      </w:r>
      <w:r>
        <w:rPr>
          <w:rFonts w:ascii="Times New Roman" w:eastAsia="Times New Roman" w:hAnsi="Times New Roman" w:cs="Times New Roman"/>
          <w:color w:val="000000"/>
          <w:sz w:val="22"/>
          <w:szCs w:val="22"/>
          <w:vertAlign w:val="superscript"/>
        </w:rPr>
        <w:footnoteReference w:id="2"/>
      </w:r>
      <w:r>
        <w:rPr>
          <w:rFonts w:ascii="Times New Roman" w:eastAsia="Times New Roman" w:hAnsi="Times New Roman" w:cs="Times New Roman"/>
          <w:color w:val="000000"/>
          <w:sz w:val="22"/>
          <w:szCs w:val="22"/>
        </w:rPr>
        <w:t>);</w:t>
      </w:r>
    </w:p>
    <w:p w:rsidR="008E2C68" w:rsidRDefault="00956CC2">
      <w:pPr>
        <w:numPr>
          <w:ilvl w:val="0"/>
          <w:numId w:val="1"/>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Frode (</w:t>
      </w:r>
      <w:r>
        <w:rPr>
          <w:rFonts w:ascii="Times New Roman" w:eastAsia="Times New Roman" w:hAnsi="Times New Roman" w:cs="Times New Roman"/>
          <w:color w:val="000000"/>
          <w:sz w:val="22"/>
          <w:szCs w:val="22"/>
          <w:vertAlign w:val="superscript"/>
        </w:rPr>
        <w:footnoteReference w:id="3"/>
      </w:r>
      <w:r>
        <w:rPr>
          <w:rFonts w:ascii="Times New Roman" w:eastAsia="Times New Roman" w:hAnsi="Times New Roman" w:cs="Times New Roman"/>
          <w:color w:val="000000"/>
          <w:sz w:val="22"/>
          <w:szCs w:val="22"/>
        </w:rPr>
        <w:t>);</w:t>
      </w:r>
    </w:p>
    <w:p w:rsidR="008E2C68" w:rsidRDefault="00956CC2">
      <w:pPr>
        <w:numPr>
          <w:ilvl w:val="0"/>
          <w:numId w:val="1"/>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Reati terroristici o reati connessi alle attività terroristiche (</w:t>
      </w:r>
      <w:r>
        <w:rPr>
          <w:rFonts w:ascii="Times New Roman" w:eastAsia="Times New Roman" w:hAnsi="Times New Roman" w:cs="Times New Roman"/>
          <w:color w:val="000000"/>
          <w:sz w:val="22"/>
          <w:szCs w:val="22"/>
          <w:vertAlign w:val="superscript"/>
        </w:rPr>
        <w:footnoteReference w:id="4"/>
      </w:r>
      <w:r>
        <w:rPr>
          <w:rFonts w:ascii="Times New Roman" w:eastAsia="Times New Roman" w:hAnsi="Times New Roman" w:cs="Times New Roman"/>
          <w:color w:val="000000"/>
          <w:sz w:val="22"/>
          <w:szCs w:val="22"/>
        </w:rPr>
        <w:t>);</w:t>
      </w:r>
    </w:p>
    <w:p w:rsidR="008E2C68" w:rsidRDefault="00956CC2">
      <w:pPr>
        <w:numPr>
          <w:ilvl w:val="0"/>
          <w:numId w:val="1"/>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Riciclaggio di proventi di attività criminose o finanziamento del terrorismo (</w:t>
      </w:r>
      <w:r>
        <w:rPr>
          <w:rFonts w:ascii="Times New Roman" w:eastAsia="Times New Roman" w:hAnsi="Times New Roman" w:cs="Times New Roman"/>
          <w:color w:val="000000"/>
          <w:sz w:val="22"/>
          <w:szCs w:val="22"/>
          <w:vertAlign w:val="superscript"/>
        </w:rPr>
        <w:footnoteReference w:id="5"/>
      </w:r>
      <w:r>
        <w:rPr>
          <w:rFonts w:ascii="Times New Roman" w:eastAsia="Times New Roman" w:hAnsi="Times New Roman" w:cs="Times New Roman"/>
          <w:color w:val="000000"/>
          <w:sz w:val="22"/>
          <w:szCs w:val="22"/>
        </w:rPr>
        <w:t>);</w:t>
      </w:r>
    </w:p>
    <w:p w:rsidR="008E2C68" w:rsidRDefault="00956CC2">
      <w:pPr>
        <w:numPr>
          <w:ilvl w:val="0"/>
          <w:numId w:val="1"/>
        </w:num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Lavoro minorile e altre forme di tratta di esseri umani (</w:t>
      </w:r>
      <w:r>
        <w:rPr>
          <w:rFonts w:ascii="Times New Roman" w:eastAsia="Times New Roman" w:hAnsi="Times New Roman" w:cs="Times New Roman"/>
          <w:color w:val="000000"/>
          <w:sz w:val="22"/>
          <w:szCs w:val="22"/>
          <w:vertAlign w:val="superscript"/>
        </w:rPr>
        <w:footnoteReference w:id="6"/>
      </w:r>
      <w:r>
        <w:rPr>
          <w:rFonts w:ascii="Times New Roman" w:eastAsia="Times New Roman" w:hAnsi="Times New Roman" w:cs="Times New Roman"/>
          <w:color w:val="000000"/>
          <w:sz w:val="22"/>
          <w:szCs w:val="22"/>
        </w:rPr>
        <w:t>);</w:t>
      </w:r>
    </w:p>
    <w:p w:rsidR="008E2C68" w:rsidRDefault="00956CC2" w:rsidP="00D7596F">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non sussiste la causa interdittiva di cui all’art. 53, comma 16-</w:t>
      </w:r>
      <w:r>
        <w:rPr>
          <w:rFonts w:ascii="Times New Roman" w:eastAsia="Times New Roman" w:hAnsi="Times New Roman" w:cs="Times New Roman"/>
          <w:i/>
          <w:color w:val="000000"/>
          <w:sz w:val="22"/>
          <w:szCs w:val="22"/>
        </w:rPr>
        <w:t>ter</w:t>
      </w:r>
      <w:r>
        <w:rPr>
          <w:rFonts w:ascii="Times New Roman" w:eastAsia="Times New Roman" w:hAnsi="Times New Roman" w:cs="Times New Roman"/>
          <w:color w:val="000000"/>
          <w:sz w:val="22"/>
          <w:szCs w:val="22"/>
        </w:rPr>
        <w:t>, del d.lgs. del 2001, n. 165 (ovvero di non aver concluso contratti di lavoro subordinato o autonomo e comunque non aver conferito incarichi ai soggetti di cui al citato art. 53 comma 16-</w:t>
      </w:r>
      <w:r>
        <w:rPr>
          <w:rFonts w:ascii="Times New Roman" w:eastAsia="Times New Roman" w:hAnsi="Times New Roman" w:cs="Times New Roman"/>
          <w:i/>
          <w:color w:val="000000"/>
          <w:sz w:val="22"/>
          <w:szCs w:val="22"/>
        </w:rPr>
        <w:t xml:space="preserve">ter </w:t>
      </w:r>
      <w:r>
        <w:rPr>
          <w:rFonts w:ascii="Times New Roman" w:eastAsia="Times New Roman" w:hAnsi="Times New Roman" w:cs="Times New Roman"/>
          <w:color w:val="000000"/>
          <w:sz w:val="22"/>
          <w:szCs w:val="22"/>
        </w:rPr>
        <w:t>[ex dipendenti di pubbliche amministrazioni che, negli ultimi tre anni di servizio, hanno esercitato poteri autoritativi o negoziali per conto delle medesime pubbliche amministrazioni nei confronti dell’impresa destinataria dell’attività della pubblica amministrazione svolta attraverso i medesimi poteri] per il triennio successivo alla cessazione del rapporto di pubblico impiego);</w:t>
      </w:r>
    </w:p>
    <w:p w:rsidR="008E2C68" w:rsidRDefault="00956CC2" w:rsidP="00D7596F">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che non sussistono le condizioni di esclusione dalla gara di cui all’art. 1-bis della legge 383/2001 (o legge equivalente per le imprese di altro Stato U.E.), specificando (segnare con una X nel caso che ricorre):</w:t>
      </w:r>
    </w:p>
    <w:p w:rsidR="008E2C68" w:rsidRDefault="00956CC2" w:rsidP="00D7596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di non essersi avvalsi dei piani individuali di emersione previsti dalla legge n. 383/2001 e </w:t>
      </w:r>
      <w:proofErr w:type="spellStart"/>
      <w:r>
        <w:rPr>
          <w:rFonts w:ascii="Times New Roman" w:eastAsia="Times New Roman" w:hAnsi="Times New Roman" w:cs="Times New Roman"/>
          <w:color w:val="000000"/>
          <w:sz w:val="22"/>
          <w:szCs w:val="22"/>
        </w:rPr>
        <w:t>s.m.i.</w:t>
      </w:r>
      <w:proofErr w:type="spellEnd"/>
      <w:r>
        <w:rPr>
          <w:rFonts w:ascii="Times New Roman" w:eastAsia="Times New Roman" w:hAnsi="Times New Roman" w:cs="Times New Roman"/>
          <w:color w:val="000000"/>
          <w:sz w:val="22"/>
          <w:szCs w:val="22"/>
        </w:rPr>
        <w:t>;</w:t>
      </w:r>
    </w:p>
    <w:p w:rsidR="008E2C68" w:rsidRDefault="00956CC2" w:rsidP="00D7596F">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di essersi avvalsi dei piani individuali di emersione previsti dalla legge n. 383/2001 e </w:t>
      </w:r>
      <w:proofErr w:type="spellStart"/>
      <w:r>
        <w:rPr>
          <w:rFonts w:ascii="Times New Roman" w:eastAsia="Times New Roman" w:hAnsi="Times New Roman" w:cs="Times New Roman"/>
          <w:color w:val="000000"/>
          <w:sz w:val="22"/>
          <w:szCs w:val="22"/>
        </w:rPr>
        <w:t>s.m.i.</w:t>
      </w:r>
      <w:proofErr w:type="spellEnd"/>
      <w:r>
        <w:rPr>
          <w:rFonts w:ascii="Times New Roman" w:eastAsia="Times New Roman" w:hAnsi="Times New Roman" w:cs="Times New Roman"/>
          <w:color w:val="000000"/>
          <w:sz w:val="22"/>
          <w:szCs w:val="22"/>
        </w:rPr>
        <w:t>, ma gli stessi si sono conclusi;</w:t>
      </w:r>
    </w:p>
    <w:p w:rsidR="008E2C68" w:rsidRDefault="00956CC2" w:rsidP="00D7596F">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di obbligarsi, verso il concorrente e verso la stazione appaltante, a mettere a disposizione, per tutta la durata dell’appalto, le risorse necessarie di cui è carente il concorrente oggetto del contratto;</w:t>
      </w:r>
    </w:p>
    <w:p w:rsidR="008E2C68" w:rsidRDefault="00956CC2" w:rsidP="00D7596F">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(nel caso in cui l’avvalimento sia finalizzato a migliorare l’offerta) </w:t>
      </w:r>
    </w:p>
    <w:p w:rsidR="008E2C68" w:rsidRDefault="00956CC2" w:rsidP="00D7596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di non partecipare alla gara in proprio o come associata o consorziata.</w:t>
      </w:r>
    </w:p>
    <w:p w:rsidR="008E2C68" w:rsidRDefault="008E2C68" w:rsidP="00D7596F">
      <w:pPr>
        <w:pBdr>
          <w:top w:val="nil"/>
          <w:left w:val="nil"/>
          <w:bottom w:val="nil"/>
          <w:right w:val="nil"/>
          <w:between w:val="nil"/>
        </w:pBdr>
        <w:spacing w:line="240" w:lineRule="auto"/>
        <w:ind w:left="0" w:hanging="2"/>
        <w:jc w:val="both"/>
        <w:rPr>
          <w:rFonts w:ascii="Times New Roman" w:eastAsia="Times New Roman" w:hAnsi="Times New Roman" w:cs="Times New Roman"/>
          <w:b/>
          <w:color w:val="000000"/>
          <w:sz w:val="22"/>
          <w:szCs w:val="22"/>
        </w:rPr>
      </w:pPr>
    </w:p>
    <w:p w:rsidR="008E2C68" w:rsidRDefault="008E2C68">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bookmarkStart w:id="1" w:name="_heading=h.gjdgxs" w:colFirst="0" w:colLast="0"/>
      <w:bookmarkEnd w:id="1"/>
    </w:p>
    <w:p w:rsidR="008E2C68" w:rsidRDefault="008E2C68">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p>
    <w:p w:rsidR="008E2C68" w:rsidRDefault="008E2C68">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p>
    <w:p w:rsidR="008E2C68" w:rsidRDefault="00956CC2">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ALLEGA</w:t>
      </w:r>
    </w:p>
    <w:p w:rsidR="008E2C68" w:rsidRDefault="008E2C6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p>
    <w:p w:rsidR="008E2C68" w:rsidRDefault="008E2C6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1) </w:t>
      </w:r>
      <w:r>
        <w:rPr>
          <w:rFonts w:ascii="Times New Roman" w:eastAsia="Times New Roman" w:hAnsi="Times New Roman" w:cs="Times New Roman"/>
          <w:color w:val="000000"/>
          <w:sz w:val="22"/>
          <w:szCs w:val="22"/>
        </w:rPr>
        <w:t xml:space="preserve">PASSOE di cui </w:t>
      </w:r>
      <w:r>
        <w:rPr>
          <w:rFonts w:ascii="Times New Roman" w:eastAsia="Times New Roman" w:hAnsi="Times New Roman" w:cs="Times New Roman"/>
          <w:sz w:val="22"/>
          <w:szCs w:val="22"/>
        </w:rPr>
        <w:t>all’art. 2, comma 3 lett. b) della delibera ANAC n. 464 del 27 luglio 2022</w:t>
      </w:r>
      <w:r>
        <w:rPr>
          <w:rFonts w:ascii="Times New Roman" w:eastAsia="Times New Roman" w:hAnsi="Times New Roman" w:cs="Times New Roman"/>
          <w:color w:val="000000"/>
          <w:sz w:val="22"/>
          <w:szCs w:val="22"/>
        </w:rPr>
        <w:t>;</w:t>
      </w:r>
    </w:p>
    <w:p w:rsidR="008E2C68" w:rsidRDefault="008E2C68">
      <w:pPr>
        <w:pBdr>
          <w:top w:val="nil"/>
          <w:left w:val="nil"/>
          <w:bottom w:val="nil"/>
          <w:right w:val="nil"/>
          <w:between w:val="nil"/>
        </w:pBdr>
        <w:spacing w:line="240" w:lineRule="auto"/>
        <w:ind w:left="0" w:hanging="2"/>
        <w:jc w:val="both"/>
        <w:rPr>
          <w:rFonts w:ascii="Times New Roman" w:eastAsia="Times New Roman" w:hAnsi="Times New Roman" w:cs="Times New Roman"/>
          <w:b/>
          <w:color w:val="000000"/>
          <w:sz w:val="22"/>
          <w:szCs w:val="22"/>
        </w:rPr>
      </w:pPr>
    </w:p>
    <w:p w:rsidR="008E2C68" w:rsidRDefault="00956CC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2) </w:t>
      </w:r>
      <w:r>
        <w:rPr>
          <w:rFonts w:ascii="Times New Roman" w:eastAsia="Times New Roman" w:hAnsi="Times New Roman" w:cs="Times New Roman"/>
          <w:color w:val="000000"/>
          <w:sz w:val="22"/>
          <w:szCs w:val="22"/>
        </w:rPr>
        <w:t>DGUE;</w:t>
      </w:r>
    </w:p>
    <w:p w:rsidR="008E2C68" w:rsidRDefault="008E2C68">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3) </w:t>
      </w:r>
      <w:r>
        <w:rPr>
          <w:rFonts w:ascii="Times New Roman" w:eastAsia="Times New Roman" w:hAnsi="Times New Roman" w:cs="Times New Roman"/>
          <w:color w:val="000000"/>
          <w:sz w:val="22"/>
          <w:szCs w:val="22"/>
        </w:rPr>
        <w:t xml:space="preserve">Originale sottoscritto digitalmente o copia autentica del contratto di avvalimento, in virtù del quale l’ausiliaria si obbliga, nei confronti del concorrente, a fornire i requisiti e a mettere a disposizione le risorse necessarie, che devono essere dettagliatamente descritte, per tutta la durata dell’appalto. Nel contratto l’operatore economico specifica se intende avvalersi delle risorse altrui per acquisire un requisito di partecipazione o per migliorare la propria offerta. A tal fine il contratto di avvalimento contiene, a pena di </w:t>
      </w:r>
      <w:proofErr w:type="spellStart"/>
      <w:r>
        <w:rPr>
          <w:rFonts w:ascii="Times New Roman" w:eastAsia="Times New Roman" w:hAnsi="Times New Roman" w:cs="Times New Roman"/>
          <w:color w:val="000000"/>
          <w:sz w:val="22"/>
          <w:szCs w:val="22"/>
        </w:rPr>
        <w:t>nullita</w:t>
      </w:r>
      <w:proofErr w:type="spellEnd"/>
      <w:r>
        <w:rPr>
          <w:rFonts w:ascii="Times New Roman" w:eastAsia="Times New Roman" w:hAnsi="Times New Roman" w:cs="Times New Roman"/>
          <w:color w:val="000000"/>
          <w:sz w:val="22"/>
          <w:szCs w:val="22"/>
        </w:rPr>
        <w:t>̀, ai sensi dell’art.104, comma 1 del D. Lgs. 36/2023, la specificazione dei requisiti forniti e delle risorse messe a disposizione dall’ausiliaria.</w:t>
      </w:r>
    </w:p>
    <w:p w:rsidR="008E2C68" w:rsidRDefault="008E2C68">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8E2C68" w:rsidRDefault="008E2C68">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8E2C68" w:rsidRDefault="008E2C68">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Luogo e data, ___________________</w:t>
      </w: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8E2C68" w:rsidRDefault="00956CC2">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t xml:space="preserve">  </w:t>
      </w:r>
      <w:r>
        <w:rPr>
          <w:rFonts w:ascii="Times New Roman" w:eastAsia="Times New Roman" w:hAnsi="Times New Roman" w:cs="Times New Roman"/>
          <w:i/>
          <w:color w:val="000000"/>
          <w:sz w:val="22"/>
          <w:szCs w:val="22"/>
        </w:rPr>
        <w:tab/>
      </w:r>
      <w:r>
        <w:rPr>
          <w:rFonts w:ascii="Times New Roman" w:eastAsia="Times New Roman" w:hAnsi="Times New Roman" w:cs="Times New Roman"/>
          <w:i/>
          <w:color w:val="000000"/>
          <w:sz w:val="22"/>
          <w:szCs w:val="22"/>
        </w:rPr>
        <w:tab/>
        <w:t>(Firma digitale)</w:t>
      </w:r>
    </w:p>
    <w:p w:rsidR="008E2C68" w:rsidRDefault="008E2C68">
      <w:pPr>
        <w:pBdr>
          <w:top w:val="nil"/>
          <w:left w:val="nil"/>
          <w:bottom w:val="nil"/>
          <w:right w:val="nil"/>
          <w:between w:val="nil"/>
        </w:pBdr>
        <w:spacing w:line="240" w:lineRule="auto"/>
        <w:ind w:left="0" w:hanging="2"/>
        <w:jc w:val="both"/>
        <w:rPr>
          <w:sz w:val="22"/>
          <w:szCs w:val="22"/>
        </w:rPr>
      </w:pPr>
    </w:p>
    <w:p w:rsidR="008E2C68" w:rsidRDefault="008E2C68">
      <w:pPr>
        <w:pBdr>
          <w:top w:val="nil"/>
          <w:left w:val="nil"/>
          <w:bottom w:val="nil"/>
          <w:right w:val="nil"/>
          <w:between w:val="nil"/>
        </w:pBdr>
        <w:spacing w:line="240" w:lineRule="auto"/>
        <w:ind w:left="0" w:hanging="2"/>
        <w:jc w:val="both"/>
        <w:rPr>
          <w:sz w:val="22"/>
          <w:szCs w:val="22"/>
        </w:rPr>
      </w:pPr>
    </w:p>
    <w:p w:rsidR="008E2C68" w:rsidRDefault="008E2C68">
      <w:pPr>
        <w:pBdr>
          <w:top w:val="nil"/>
          <w:left w:val="nil"/>
          <w:bottom w:val="nil"/>
          <w:right w:val="nil"/>
          <w:between w:val="nil"/>
        </w:pBdr>
        <w:spacing w:line="240" w:lineRule="auto"/>
        <w:ind w:left="0" w:hanging="2"/>
        <w:jc w:val="both"/>
        <w:rPr>
          <w:sz w:val="22"/>
          <w:szCs w:val="22"/>
        </w:rPr>
      </w:pPr>
    </w:p>
    <w:p w:rsidR="00344B76" w:rsidRDefault="00344B76" w:rsidP="00A17436">
      <w:pPr>
        <w:ind w:left="0" w:hanging="2"/>
        <w:rPr>
          <w:rFonts w:ascii="Times New Roman" w:eastAsia="Times New Roman" w:hAnsi="Times New Roman" w:cs="Times New Roman"/>
          <w:sz w:val="22"/>
          <w:szCs w:val="22"/>
        </w:rPr>
      </w:pPr>
    </w:p>
    <w:p w:rsidR="00344B76" w:rsidRDefault="00344B76" w:rsidP="00A17436">
      <w:pPr>
        <w:ind w:left="0" w:hanging="2"/>
        <w:rPr>
          <w:rFonts w:ascii="Times New Roman" w:eastAsia="Times New Roman" w:hAnsi="Times New Roman" w:cs="Times New Roman"/>
          <w:sz w:val="22"/>
          <w:szCs w:val="22"/>
        </w:rPr>
      </w:pPr>
    </w:p>
    <w:p w:rsidR="008E2C68" w:rsidRDefault="008E2C68" w:rsidP="00A17436">
      <w:pPr>
        <w:pBdr>
          <w:top w:val="nil"/>
          <w:left w:val="nil"/>
          <w:bottom w:val="nil"/>
          <w:right w:val="nil"/>
          <w:between w:val="nil"/>
        </w:pBdr>
        <w:spacing w:line="240" w:lineRule="auto"/>
        <w:ind w:left="0" w:hanging="2"/>
        <w:jc w:val="right"/>
        <w:rPr>
          <w:rFonts w:ascii="Times New Roman" w:eastAsia="Times New Roman" w:hAnsi="Times New Roman" w:cs="Times New Roman"/>
          <w:i/>
          <w:sz w:val="22"/>
          <w:szCs w:val="22"/>
        </w:rPr>
      </w:pPr>
      <w:bookmarkStart w:id="2" w:name="_heading=h.1fob9te" w:colFirst="0" w:colLast="0"/>
      <w:bookmarkEnd w:id="2"/>
    </w:p>
    <w:p w:rsidR="008E2C68" w:rsidRDefault="008E2C68" w:rsidP="00A1743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2"/>
          <w:szCs w:val="22"/>
        </w:rPr>
      </w:pPr>
    </w:p>
    <w:p w:rsidR="008E2C68" w:rsidRDefault="008E2C68" w:rsidP="00A17436">
      <w:pPr>
        <w:spacing w:line="240" w:lineRule="auto"/>
        <w:ind w:left="0" w:hanging="2"/>
        <w:jc w:val="right"/>
        <w:rPr>
          <w:rFonts w:ascii="Times New Roman" w:eastAsia="Times New Roman" w:hAnsi="Times New Roman" w:cs="Times New Roman"/>
          <w:color w:val="00B0F0"/>
        </w:rPr>
      </w:pPr>
    </w:p>
    <w:p w:rsidR="008E2C68" w:rsidRDefault="008E2C68">
      <w:pPr>
        <w:spacing w:line="240" w:lineRule="auto"/>
        <w:ind w:left="0" w:hanging="2"/>
        <w:rPr>
          <w:rFonts w:ascii="Times New Roman" w:eastAsia="Times New Roman" w:hAnsi="Times New Roman" w:cs="Times New Roman"/>
        </w:rPr>
      </w:pPr>
    </w:p>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sectPr w:rsidR="008E2C68">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1454" w:rsidRDefault="00321454">
      <w:pPr>
        <w:spacing w:line="240" w:lineRule="auto"/>
        <w:ind w:left="0" w:hanging="2"/>
      </w:pPr>
      <w:r>
        <w:separator/>
      </w:r>
    </w:p>
  </w:endnote>
  <w:endnote w:type="continuationSeparator" w:id="0">
    <w:p w:rsidR="00321454" w:rsidRDefault="0032145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68" w:rsidRDefault="008E2C68">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68" w:rsidRDefault="00956CC2">
    <w:pPr>
      <w:pBdr>
        <w:top w:val="nil"/>
        <w:left w:val="nil"/>
        <w:bottom w:val="nil"/>
        <w:right w:val="nil"/>
        <w:between w:val="nil"/>
      </w:pBdr>
      <w:spacing w:line="240" w:lineRule="auto"/>
      <w:ind w:left="0" w:hanging="2"/>
      <w:rPr>
        <w:color w:val="000000"/>
        <w:sz w:val="22"/>
        <w:szCs w:val="22"/>
      </w:rPr>
    </w:pPr>
    <w:r>
      <w:rPr>
        <w:color w:val="000000"/>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68" w:rsidRDefault="008E2C68">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1454" w:rsidRDefault="00321454">
      <w:pPr>
        <w:spacing w:line="240" w:lineRule="auto"/>
        <w:ind w:left="0" w:hanging="2"/>
      </w:pPr>
      <w:r>
        <w:separator/>
      </w:r>
    </w:p>
  </w:footnote>
  <w:footnote w:type="continuationSeparator" w:id="0">
    <w:p w:rsidR="00321454" w:rsidRDefault="00321454">
      <w:pPr>
        <w:spacing w:line="240" w:lineRule="auto"/>
        <w:ind w:left="0" w:hanging="2"/>
      </w:pPr>
      <w:r>
        <w:continuationSeparator/>
      </w:r>
    </w:p>
  </w:footnote>
  <w:footnote w:id="1">
    <w:p w:rsidR="008E2C68" w:rsidRDefault="00956CC2">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Quale definita all’articolo 2 della decisione quadro 2008/841/GAI del Consiglio, del 24 ottobre 2008, relativa alla lotta contro la criminalità organizzata (GU L 300 dell’11.11.2008, pag. 42).</w:t>
      </w:r>
    </w:p>
  </w:footnote>
  <w:footnote w:id="2">
    <w:p w:rsidR="008E2C68" w:rsidRDefault="00956CC2">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Quale definita all’articolo 3 della convenzione relativa alla lotta contro la corruzione nella quale sono coinvolti funzionari delle Comunità Europee o degli Stati membri dell’Unione Europea (GU  C  195 del 25.6.1997, pag.1) e all’articolo 2, paragrafo 1, della decisione quadro 2008/568/GAI del Consiglio, del 22 luglio 2003, relativa alla lotta contro la corruzione nel settore privato (GU  C  192 del 31.7.2003,pag. 54). Questo motivo di esclusione comprende la corruzione come definita nel diritto nazionale dell’amministrazione aggiudicatrice (o ente aggiudicatore) o dell’operatore economico.</w:t>
      </w:r>
    </w:p>
  </w:footnote>
  <w:footnote w:id="3">
    <w:p w:rsidR="008E2C68" w:rsidRDefault="00956CC2">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Ai sensi dell’art.1 della convenzione relativa alla tutela degli interessi finanziari delle Comunità Europee (GU C 316 del 27.11.1995, pag.48).</w:t>
      </w:r>
    </w:p>
  </w:footnote>
  <w:footnote w:id="4">
    <w:p w:rsidR="008E2C68" w:rsidRDefault="00956CC2">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Quali definiti negli articoli 1 e 3 della decisione quadro del Consiglio, del 13 giugno 2002, sulla lotta contro il terrorismo ( GU L 164 del 22.6.2002, pag.3). Questo motivo di esclusione comprende anche istigazione, il concorso, il tentativo di commettere uno di tali reati, come indicato nell’art. 4 di detta decisione quadro.</w:t>
      </w:r>
    </w:p>
  </w:footnote>
  <w:footnote w:id="5">
    <w:p w:rsidR="008E2C68" w:rsidRDefault="00956CC2">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Quali definiti all’articolo 1 della direttiva 2005/60/CE del Parlamento europeo e del Consiglio, del 26 ottobre 2005, relativa alla prevenzione dell’uso del sistema finanziario a scopo di riciclaggio dei proventi di attività criminose e di finanziamento di terrorismo (GU L 309 del 25.11.2005, pag.15).</w:t>
      </w:r>
    </w:p>
  </w:footnote>
  <w:footnote w:id="6">
    <w:p w:rsidR="008E2C68" w:rsidRDefault="00956CC2">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Quali definiti all’articolo 2 della direttiva 2001/36/UE del Parlamento europeo e del Consiglio, del 5 aprile 2011, concernente la prevenzione e la repressione della tratta di esseri umani e la protezione delle vittime, e che sostituisce la decisione quadro del Consiglio 2002/629/GAI (GU L 101 del 15.4.2011, pag.1).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68" w:rsidRDefault="008E2C68">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68" w:rsidRDefault="008E2C68">
    <w:pPr>
      <w:widowControl w:val="0"/>
      <w:pBdr>
        <w:top w:val="nil"/>
        <w:left w:val="nil"/>
        <w:bottom w:val="nil"/>
        <w:right w:val="nil"/>
        <w:between w:val="nil"/>
      </w:pBdr>
      <w:spacing w:line="276" w:lineRule="auto"/>
      <w:ind w:left="0" w:hanging="2"/>
      <w:rPr>
        <w:color w:val="000000"/>
      </w:rPr>
    </w:pPr>
  </w:p>
  <w:tbl>
    <w:tblPr>
      <w:tblStyle w:val="a3"/>
      <w:tblW w:w="8434" w:type="dxa"/>
      <w:tblInd w:w="0" w:type="dxa"/>
      <w:tblLayout w:type="fixed"/>
      <w:tblLook w:val="0000" w:firstRow="0" w:lastRow="0" w:firstColumn="0" w:lastColumn="0" w:noHBand="0" w:noVBand="0"/>
    </w:tblPr>
    <w:tblGrid>
      <w:gridCol w:w="8434"/>
    </w:tblGrid>
    <w:tr w:rsidR="008E2C68">
      <w:trPr>
        <w:trHeight w:val="443"/>
      </w:trPr>
      <w:tc>
        <w:tcPr>
          <w:tcW w:w="8434" w:type="dxa"/>
          <w:tcBorders>
            <w:top w:val="nil"/>
            <w:left w:val="nil"/>
            <w:bottom w:val="nil"/>
            <w:right w:val="nil"/>
          </w:tcBorders>
        </w:tcPr>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tc>
    </w:tr>
  </w:tbl>
  <w:p w:rsidR="008E2C68" w:rsidRDefault="008E2C68">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4"/>
      <w:tblW w:w="9709" w:type="dxa"/>
      <w:tblInd w:w="0" w:type="dxa"/>
      <w:tblLayout w:type="fixed"/>
      <w:tblLook w:val="0000" w:firstRow="0" w:lastRow="0" w:firstColumn="0" w:lastColumn="0" w:noHBand="0" w:noVBand="0"/>
    </w:tblPr>
    <w:tblGrid>
      <w:gridCol w:w="9709"/>
    </w:tblGrid>
    <w:tr w:rsidR="008E2C68">
      <w:trPr>
        <w:trHeight w:val="1283"/>
      </w:trPr>
      <w:tc>
        <w:tcPr>
          <w:tcW w:w="9709" w:type="dxa"/>
          <w:tcBorders>
            <w:top w:val="nil"/>
            <w:left w:val="nil"/>
            <w:bottom w:val="nil"/>
            <w:right w:val="nil"/>
          </w:tcBorders>
        </w:tcPr>
        <w:p w:rsidR="008E2C68" w:rsidRDefault="008E2C68">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tc>
    </w:tr>
  </w:tbl>
  <w:p w:rsidR="008E2C68" w:rsidRDefault="008E2C68">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7C2D44"/>
    <w:multiLevelType w:val="multilevel"/>
    <w:tmpl w:val="92F06A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C68"/>
    <w:rsid w:val="001529DA"/>
    <w:rsid w:val="00193805"/>
    <w:rsid w:val="00321454"/>
    <w:rsid w:val="00344B76"/>
    <w:rsid w:val="003E6479"/>
    <w:rsid w:val="004E26B5"/>
    <w:rsid w:val="005A2A28"/>
    <w:rsid w:val="005B3897"/>
    <w:rsid w:val="007E4986"/>
    <w:rsid w:val="008208B8"/>
    <w:rsid w:val="008E2C68"/>
    <w:rsid w:val="008F3532"/>
    <w:rsid w:val="0091758A"/>
    <w:rsid w:val="00956CC2"/>
    <w:rsid w:val="009728FE"/>
    <w:rsid w:val="00986DDB"/>
    <w:rsid w:val="00A17436"/>
    <w:rsid w:val="00AA2E4A"/>
    <w:rsid w:val="00C50AA2"/>
    <w:rsid w:val="00CF7DB5"/>
    <w:rsid w:val="00D759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C642CD-6E66-44EA-8F66-F912452F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it-IT" w:eastAsia="it-IT"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pPr>
    <w:rPr>
      <w:rFonts w:ascii="Cambria" w:hAnsi="Cambria" w:cs="Times New Roman"/>
      <w:b/>
      <w:bCs/>
      <w:kern w:val="32"/>
      <w:sz w:val="32"/>
      <w:szCs w:val="32"/>
    </w:rPr>
  </w:style>
  <w:style w:type="paragraph" w:styleId="Titolo2">
    <w:name w:val="heading 2"/>
    <w:basedOn w:val="Normale"/>
    <w:next w:val="Normale"/>
    <w:uiPriority w:val="9"/>
    <w:semiHidden/>
    <w:unhideWhenUsed/>
    <w:qFormat/>
    <w:pPr>
      <w:keepNext/>
      <w:outlineLvl w:val="1"/>
    </w:pPr>
    <w:rPr>
      <w:rFonts w:ascii="Cambria" w:hAnsi="Cambria" w:cs="Times New Roman"/>
      <w:b/>
      <w:bCs/>
      <w:i/>
      <w:iCs/>
      <w:sz w:val="28"/>
      <w:szCs w:val="28"/>
    </w:rPr>
  </w:style>
  <w:style w:type="paragraph" w:styleId="Titolo3">
    <w:name w:val="heading 3"/>
    <w:basedOn w:val="Normale"/>
    <w:next w:val="Normale"/>
    <w:uiPriority w:val="9"/>
    <w:semiHidden/>
    <w:unhideWhenUsed/>
    <w:qFormat/>
    <w:pPr>
      <w:keepNext/>
      <w:jc w:val="center"/>
      <w:outlineLvl w:val="2"/>
    </w:pPr>
    <w:rPr>
      <w:rFonts w:ascii="Cambria" w:hAnsi="Cambria" w:cs="Times New Roman"/>
      <w:b/>
      <w:bCs/>
      <w:sz w:val="26"/>
      <w:szCs w:val="26"/>
    </w:rPr>
  </w:style>
  <w:style w:type="paragraph" w:styleId="Titolo4">
    <w:name w:val="heading 4"/>
    <w:basedOn w:val="Normale"/>
    <w:next w:val="Normale"/>
    <w:uiPriority w:val="9"/>
    <w:semiHidden/>
    <w:unhideWhenUsed/>
    <w:qFormat/>
    <w:pPr>
      <w:keepNext/>
      <w:jc w:val="both"/>
      <w:outlineLvl w:val="3"/>
    </w:pPr>
    <w:rPr>
      <w:rFonts w:ascii="Calibri" w:hAnsi="Calibri" w:cs="Times New Roman"/>
      <w:b/>
      <w:bCs/>
      <w:sz w:val="28"/>
      <w:szCs w:val="28"/>
    </w:rPr>
  </w:style>
  <w:style w:type="paragraph" w:styleId="Titolo5">
    <w:name w:val="heading 5"/>
    <w:basedOn w:val="Normale"/>
    <w:next w:val="Normale"/>
    <w:uiPriority w:val="9"/>
    <w:semiHidden/>
    <w:unhideWhenUsed/>
    <w:qFormat/>
    <w:pPr>
      <w:keepNext/>
      <w:jc w:val="both"/>
      <w:outlineLvl w:val="4"/>
    </w:pPr>
    <w:rPr>
      <w:rFonts w:ascii="Calibri" w:hAnsi="Calibri" w:cs="Times New Roman"/>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Titolo1Carattere">
    <w:name w:val="Titolo 1 Carattere"/>
    <w:rPr>
      <w:rFonts w:ascii="Cambria" w:eastAsia="Times New Roman" w:hAnsi="Cambria" w:cs="Times New Roman"/>
      <w:b/>
      <w:bCs/>
      <w:w w:val="100"/>
      <w:kern w:val="32"/>
      <w:position w:val="-1"/>
      <w:sz w:val="32"/>
      <w:szCs w:val="32"/>
      <w:effect w:val="none"/>
      <w:vertAlign w:val="baseline"/>
      <w:cs w:val="0"/>
      <w:em w:val="none"/>
    </w:rPr>
  </w:style>
  <w:style w:type="character" w:customStyle="1" w:styleId="Titolo2Carattere">
    <w:name w:val="Titolo 2 Carattere"/>
    <w:rPr>
      <w:rFonts w:ascii="Cambria" w:eastAsia="Times New Roman" w:hAnsi="Cambria" w:cs="Times New Roman"/>
      <w:b/>
      <w:bCs/>
      <w:i/>
      <w:iCs/>
      <w:w w:val="100"/>
      <w:position w:val="-1"/>
      <w:sz w:val="28"/>
      <w:szCs w:val="28"/>
      <w:effect w:val="none"/>
      <w:vertAlign w:val="baseline"/>
      <w:cs w:val="0"/>
      <w:em w:val="none"/>
    </w:rPr>
  </w:style>
  <w:style w:type="character" w:customStyle="1" w:styleId="Titolo3Carattere">
    <w:name w:val="Titolo 3 Carattere"/>
    <w:rPr>
      <w:rFonts w:ascii="Cambria" w:eastAsia="Times New Roman" w:hAnsi="Cambria" w:cs="Times New Roman"/>
      <w:b/>
      <w:bCs/>
      <w:w w:val="100"/>
      <w:position w:val="-1"/>
      <w:sz w:val="26"/>
      <w:szCs w:val="26"/>
      <w:effect w:val="none"/>
      <w:vertAlign w:val="baseline"/>
      <w:cs w:val="0"/>
      <w:em w:val="none"/>
    </w:rPr>
  </w:style>
  <w:style w:type="character" w:customStyle="1" w:styleId="Titolo4Carattere">
    <w:name w:val="Titolo 4 Carattere"/>
    <w:rPr>
      <w:rFonts w:ascii="Calibri" w:eastAsia="Times New Roman" w:hAnsi="Calibri" w:cs="Times New Roman"/>
      <w:b/>
      <w:bCs/>
      <w:w w:val="100"/>
      <w:position w:val="-1"/>
      <w:sz w:val="28"/>
      <w:szCs w:val="28"/>
      <w:effect w:val="none"/>
      <w:vertAlign w:val="baseline"/>
      <w:cs w:val="0"/>
      <w:em w:val="none"/>
    </w:r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paragraph" w:styleId="Corpodeltesto2">
    <w:name w:val="Body Text 2"/>
    <w:basedOn w:val="Normale"/>
    <w:pPr>
      <w:ind w:right="-143"/>
      <w:jc w:val="both"/>
    </w:pPr>
    <w:rPr>
      <w:rFonts w:cs="Times New Roman"/>
    </w:rPr>
  </w:style>
  <w:style w:type="character" w:customStyle="1" w:styleId="Corpodeltesto2Carattere">
    <w:name w:val="Corpo del testo 2 Carattere"/>
    <w:rPr>
      <w:rFonts w:ascii="Arial" w:hAnsi="Arial" w:cs="Arial"/>
      <w:w w:val="100"/>
      <w:position w:val="-1"/>
      <w:sz w:val="24"/>
      <w:szCs w:val="24"/>
      <w:effect w:val="none"/>
      <w:vertAlign w:val="baseline"/>
      <w:cs w:val="0"/>
      <w:em w:val="none"/>
    </w:rPr>
  </w:style>
  <w:style w:type="paragraph" w:styleId="Rientrocorpodeltesto2">
    <w:name w:val="Body Text Indent 2"/>
    <w:basedOn w:val="Normale"/>
    <w:pPr>
      <w:ind w:firstLine="360"/>
      <w:jc w:val="both"/>
    </w:pPr>
    <w:rPr>
      <w:rFonts w:cs="Times New Roman"/>
    </w:rPr>
  </w:style>
  <w:style w:type="character" w:customStyle="1" w:styleId="Rientrocorpodeltesto2Carattere">
    <w:name w:val="Rientro corpo del testo 2 Carattere"/>
    <w:rPr>
      <w:rFonts w:ascii="Arial" w:hAnsi="Arial" w:cs="Arial"/>
      <w:w w:val="100"/>
      <w:position w:val="-1"/>
      <w:sz w:val="24"/>
      <w:szCs w:val="24"/>
      <w:effect w:val="none"/>
      <w:vertAlign w:val="baseline"/>
      <w:cs w:val="0"/>
      <w:em w:val="none"/>
    </w:rPr>
  </w:style>
  <w:style w:type="paragraph" w:styleId="Corpotesto">
    <w:name w:val="Body Text"/>
    <w:basedOn w:val="Normale"/>
    <w:pPr>
      <w:jc w:val="both"/>
    </w:pPr>
    <w:rPr>
      <w:rFonts w:cs="Times New Roman"/>
    </w:rPr>
  </w:style>
  <w:style w:type="character" w:customStyle="1" w:styleId="CorpotestoCarattere">
    <w:name w:val="Corpo testo Carattere"/>
    <w:rPr>
      <w:rFonts w:ascii="Arial" w:hAnsi="Arial" w:cs="Arial"/>
      <w:w w:val="100"/>
      <w:position w:val="-1"/>
      <w:sz w:val="24"/>
      <w:szCs w:val="24"/>
      <w:effect w:val="none"/>
      <w:vertAlign w:val="baseline"/>
      <w:cs w:val="0"/>
      <w:em w:val="none"/>
    </w:rPr>
  </w:style>
  <w:style w:type="paragraph" w:styleId="Rientrocorpodeltesto3">
    <w:name w:val="Body Text Indent 3"/>
    <w:basedOn w:val="Normale"/>
    <w:pPr>
      <w:ind w:firstLine="708"/>
      <w:jc w:val="both"/>
    </w:pPr>
    <w:rPr>
      <w:rFonts w:cs="Times New Roman"/>
      <w:sz w:val="16"/>
      <w:szCs w:val="16"/>
    </w:rPr>
  </w:style>
  <w:style w:type="character" w:customStyle="1" w:styleId="Rientrocorpodeltesto3Carattere">
    <w:name w:val="Rientro corpo del testo 3 Carattere"/>
    <w:rPr>
      <w:rFonts w:ascii="Arial" w:hAnsi="Arial" w:cs="Arial"/>
      <w:w w:val="100"/>
      <w:position w:val="-1"/>
      <w:sz w:val="16"/>
      <w:szCs w:val="16"/>
      <w:effect w:val="none"/>
      <w:vertAlign w:val="baseline"/>
      <w:cs w:val="0"/>
      <w:em w:val="none"/>
    </w:rPr>
  </w:style>
  <w:style w:type="paragraph" w:styleId="Pidipagina">
    <w:name w:val="footer"/>
    <w:basedOn w:val="Normale"/>
    <w:rPr>
      <w:rFonts w:cs="Times New Roman"/>
    </w:rPr>
  </w:style>
  <w:style w:type="character" w:customStyle="1" w:styleId="PidipaginaCarattere">
    <w:name w:val="Piè di pagina Carattere"/>
    <w:rPr>
      <w:rFonts w:ascii="Arial" w:hAnsi="Arial" w:cs="Arial"/>
      <w:w w:val="100"/>
      <w:position w:val="-1"/>
      <w:sz w:val="24"/>
      <w:szCs w:val="24"/>
      <w:effect w:val="none"/>
      <w:vertAlign w:val="baseline"/>
      <w:cs w:val="0"/>
      <w:em w:val="none"/>
    </w:rPr>
  </w:style>
  <w:style w:type="character" w:styleId="Numeropagina">
    <w:name w:val="page number"/>
    <w:rPr>
      <w:w w:val="100"/>
      <w:position w:val="-1"/>
      <w:effect w:val="none"/>
      <w:vertAlign w:val="baseline"/>
      <w:cs w:val="0"/>
      <w:em w:val="none"/>
    </w:rPr>
  </w:style>
  <w:style w:type="paragraph" w:styleId="Intestazione">
    <w:name w:val="header"/>
    <w:basedOn w:val="Normale"/>
    <w:rPr>
      <w:rFonts w:cs="Times New Roman"/>
    </w:rPr>
  </w:style>
  <w:style w:type="character" w:customStyle="1" w:styleId="IntestazioneCarattere">
    <w:name w:val="Intestazione Carattere"/>
    <w:rPr>
      <w:rFonts w:ascii="Arial" w:hAnsi="Arial" w:cs="Arial"/>
      <w:w w:val="100"/>
      <w:position w:val="-1"/>
      <w:sz w:val="24"/>
      <w:szCs w:val="24"/>
      <w:effect w:val="none"/>
      <w:vertAlign w:val="baseline"/>
      <w:cs w:val="0"/>
      <w:em w:val="none"/>
    </w:rPr>
  </w:style>
  <w:style w:type="paragraph" w:styleId="Testofumetto">
    <w:name w:val="Balloon Text"/>
    <w:basedOn w:val="Normale"/>
    <w:qFormat/>
    <w:rPr>
      <w:rFonts w:ascii="Tahoma" w:hAnsi="Tahoma" w:cs="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paragraph" w:styleId="NormaleWeb">
    <w:name w:val="Normal (Web)"/>
    <w:basedOn w:val="Normale"/>
    <w:uiPriority w:val="99"/>
    <w:semiHidden/>
    <w:unhideWhenUsed/>
    <w:rsid w:val="006370D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hAnsi="Times New Roman" w:cs="Times New Roman"/>
      <w:position w:val="0"/>
    </w:rPr>
  </w:style>
  <w:style w:type="paragraph" w:styleId="Paragrafoelenco">
    <w:name w:val="List Paragraph"/>
    <w:basedOn w:val="Normale"/>
    <w:uiPriority w:val="34"/>
    <w:qFormat/>
    <w:rsid w:val="00015144"/>
    <w:pPr>
      <w:ind w:left="720"/>
      <w:contextualSpacing/>
    </w:p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lP/OASyDuM+KOLLGM3Y3El/zvg==">CgMxLjAyCGguZ2pkZ3hzMghoLnR5amN3dDIJaC4xZm9iOXRlOAByITFDMEV6Qk1nTmpPLUpEYWhzY2JJUUx4RnpnSDJhWGpkZA==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803</Words>
  <Characters>4578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maria-pastrello</dc:creator>
  <cp:lastModifiedBy>SILVIA NALETTO</cp:lastModifiedBy>
  <cp:revision>4</cp:revision>
  <dcterms:created xsi:type="dcterms:W3CDTF">2023-11-22T10:23:00Z</dcterms:created>
  <dcterms:modified xsi:type="dcterms:W3CDTF">2023-11-22T10:48:00Z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11200.0000000000</vt:lpwstr>
  </property>
</Properties>
</file>