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4820"/>
        </w:tabs>
        <w:jc w:val="center"/>
        <w:rPr>
          <w:rFonts w:ascii="Verdana" w:cs="Verdana" w:eastAsia="Verdana" w:hAnsi="Verdana"/>
          <w:sz w:val="28"/>
          <w:szCs w:val="28"/>
        </w:rPr>
      </w:pP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Pr>
        <w:drawing>
          <wp:inline distB="114300" distT="114300" distL="114300" distR="114300">
            <wp:extent cx="6119820" cy="7874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tabs>
          <w:tab w:val="left" w:leader="none" w:pos="4820"/>
        </w:tabs>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tabs>
          <w:tab w:val="center" w:leader="none" w:pos="4819"/>
          <w:tab w:val="right" w:leader="none" w:pos="9638"/>
        </w:tabs>
        <w:jc w:val="both"/>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ALLEGATO B</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Verdana" w:cs="Verdana" w:eastAsia="Verdana" w:hAnsi="Verdana"/>
          <w:sz w:val="28"/>
          <w:szCs w:val="28"/>
        </w:rPr>
      </w:pPr>
      <w:r w:rsidDel="00000000" w:rsidR="00000000" w:rsidRPr="00000000">
        <w:rPr>
          <w:rFonts w:ascii="Verdana" w:cs="Verdana" w:eastAsia="Verdana" w:hAnsi="Verdana"/>
          <w:b w:val="1"/>
          <w:rtl w:val="0"/>
        </w:rPr>
        <w:t xml:space="preserve">“Bando di sostegno alla gestione e al funzionamento delle Reti Innovative Regionali”</w:t>
      </w:r>
      <w:r w:rsidDel="00000000" w:rsidR="00000000" w:rsidRPr="00000000">
        <w:rPr>
          <w:rtl w:val="0"/>
        </w:rPr>
      </w:r>
    </w:p>
    <w:p w:rsidR="00000000" w:rsidDel="00000000" w:rsidP="00000000" w:rsidRDefault="00000000" w:rsidRPr="00000000" w14:paraId="0000000A">
      <w:pPr>
        <w:ind w:left="2855" w:firstLine="0"/>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B">
      <w:pPr>
        <w:tabs>
          <w:tab w:val="center" w:leader="none" w:pos="4819"/>
          <w:tab w:val="right" w:leader="none" w:pos="963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C">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0D">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0E">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0F">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10">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11">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12">
      <w:pPr>
        <w:jc w:val="center"/>
        <w:rPr>
          <w:rFonts w:ascii="Verdana" w:cs="Verdana" w:eastAsia="Verdana" w:hAnsi="Verdana"/>
          <w:b w:val="1"/>
          <w:sz w:val="26"/>
          <w:szCs w:val="26"/>
        </w:rPr>
      </w:pPr>
      <w:r w:rsidDel="00000000" w:rsidR="00000000" w:rsidRPr="00000000">
        <w:rPr>
          <w:rtl w:val="0"/>
        </w:rPr>
      </w:r>
    </w:p>
    <w:p w:rsidR="00000000" w:rsidDel="00000000" w:rsidP="00000000" w:rsidRDefault="00000000" w:rsidRPr="00000000" w14:paraId="00000013">
      <w:pPr>
        <w:jc w:val="center"/>
        <w:rPr>
          <w:rFonts w:ascii="Verdana" w:cs="Verdana" w:eastAsia="Verdana" w:hAnsi="Verdana"/>
          <w:b w:val="1"/>
          <w:sz w:val="26"/>
          <w:szCs w:val="26"/>
        </w:rPr>
      </w:pPr>
      <w:r w:rsidDel="00000000" w:rsidR="00000000" w:rsidRPr="00000000">
        <w:rPr>
          <w:rFonts w:ascii="Verdana" w:cs="Verdana" w:eastAsia="Verdana" w:hAnsi="Verdana"/>
          <w:b w:val="1"/>
          <w:sz w:val="26"/>
          <w:szCs w:val="26"/>
          <w:rtl w:val="0"/>
        </w:rPr>
        <w:t xml:space="preserve">MODELLO DI PROGETTO</w:t>
      </w:r>
    </w:p>
    <w:p w:rsidR="00000000" w:rsidDel="00000000" w:rsidP="00000000" w:rsidRDefault="00000000" w:rsidRPr="00000000" w14:paraId="00000014">
      <w:pPr>
        <w:rPr>
          <w:rFonts w:ascii="Verdana" w:cs="Verdana" w:eastAsia="Verdana" w:hAnsi="Verdana"/>
          <w:sz w:val="26"/>
          <w:szCs w:val="26"/>
        </w:rPr>
      </w:pPr>
      <w:r w:rsidDel="00000000" w:rsidR="00000000" w:rsidRPr="00000000">
        <w:rPr>
          <w:rtl w:val="0"/>
        </w:rPr>
      </w:r>
    </w:p>
    <w:p w:rsidR="00000000" w:rsidDel="00000000" w:rsidP="00000000" w:rsidRDefault="00000000" w:rsidRPr="00000000" w14:paraId="00000015">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6">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7">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8">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9">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A">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B">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C">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D">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E">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1F">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20">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21">
      <w:pPr>
        <w:rPr>
          <w:rFonts w:ascii="Verdana" w:cs="Verdana" w:eastAsia="Verdana" w:hAnsi="Verdana"/>
          <w:sz w:val="26"/>
          <w:szCs w:val="26"/>
        </w:rPr>
      </w:pPr>
      <w:r w:rsidDel="00000000" w:rsidR="00000000" w:rsidRPr="00000000">
        <w:rPr>
          <w:rtl w:val="0"/>
        </w:rPr>
      </w:r>
    </w:p>
    <w:p w:rsidR="00000000" w:rsidDel="00000000" w:rsidP="00000000" w:rsidRDefault="00000000" w:rsidRPr="00000000" w14:paraId="00000022">
      <w:pPr>
        <w:rPr>
          <w:rFonts w:ascii="Verdana" w:cs="Verdana" w:eastAsia="Verdana" w:hAnsi="Verdana"/>
          <w:sz w:val="26"/>
          <w:szCs w:val="26"/>
        </w:rPr>
      </w:pPr>
      <w:r w:rsidDel="00000000" w:rsidR="00000000" w:rsidRPr="00000000">
        <w:rPr>
          <w:rtl w:val="0"/>
        </w:rPr>
      </w:r>
    </w:p>
    <w:p w:rsidR="00000000" w:rsidDel="00000000" w:rsidP="00000000" w:rsidRDefault="00000000" w:rsidRPr="00000000" w14:paraId="00000023">
      <w:pPr>
        <w:rPr>
          <w:rFonts w:ascii="Verdana" w:cs="Verdana" w:eastAsia="Verdana" w:hAnsi="Verdana"/>
          <w:sz w:val="26"/>
          <w:szCs w:val="26"/>
        </w:rPr>
      </w:pPr>
      <w:r w:rsidDel="00000000" w:rsidR="00000000" w:rsidRPr="00000000">
        <w:rPr>
          <w:rtl w:val="0"/>
        </w:rPr>
      </w:r>
    </w:p>
    <w:p w:rsidR="00000000" w:rsidDel="00000000" w:rsidP="00000000" w:rsidRDefault="00000000" w:rsidRPr="00000000" w14:paraId="00000024">
      <w:pPr>
        <w:jc w:val="both"/>
        <w:rPr>
          <w:rFonts w:ascii="Verdana" w:cs="Verdana" w:eastAsia="Verdana" w:hAnsi="Verdana"/>
          <w:sz w:val="22"/>
          <w:szCs w:val="22"/>
        </w:rPr>
      </w:pPr>
      <w:r w:rsidDel="00000000" w:rsidR="00000000" w:rsidRPr="00000000">
        <w:rPr>
          <w:rFonts w:ascii="Verdana" w:cs="Verdana" w:eastAsia="Verdana" w:hAnsi="Verdana"/>
          <w:b w:val="1"/>
          <w:sz w:val="22"/>
          <w:szCs w:val="22"/>
          <w:rtl w:val="0"/>
        </w:rPr>
        <w:t xml:space="preserve">Obiettivo Specifico 1.1. </w:t>
      </w:r>
      <w:r w:rsidDel="00000000" w:rsidR="00000000" w:rsidRPr="00000000">
        <w:rPr>
          <w:rFonts w:ascii="Verdana" w:cs="Verdana" w:eastAsia="Verdana" w:hAnsi="Verdana"/>
          <w:sz w:val="22"/>
          <w:szCs w:val="22"/>
          <w:rtl w:val="0"/>
        </w:rPr>
        <w:t xml:space="preserve">“Sviluppare e rafforzare le capacità di ricerca e di innovazione e l'introduzione di tecnologie avanzate”</w:t>
      </w:r>
    </w:p>
    <w:p w:rsidR="00000000" w:rsidDel="00000000" w:rsidP="00000000" w:rsidRDefault="00000000" w:rsidRPr="00000000" w14:paraId="00000025">
      <w:pPr>
        <w:ind w:left="3401" w:firstLine="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6">
      <w:pPr>
        <w:jc w:val="both"/>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Azione 1.1.5 </w:t>
      </w:r>
      <w:r w:rsidDel="00000000" w:rsidR="00000000" w:rsidRPr="00000000">
        <w:rPr>
          <w:rFonts w:ascii="Verdana" w:cs="Verdana" w:eastAsia="Verdana" w:hAnsi="Verdana"/>
          <w:sz w:val="22"/>
          <w:szCs w:val="22"/>
          <w:rtl w:val="0"/>
        </w:rPr>
        <w:t xml:space="preserve">“Sostegno alla gestione e al funzionamento delle RIR”</w:t>
      </w:r>
      <w:r w:rsidDel="00000000" w:rsidR="00000000" w:rsidRPr="00000000">
        <w:rPr>
          <w:rtl w:val="0"/>
        </w:rPr>
      </w:r>
    </w:p>
    <w:p w:rsidR="00000000" w:rsidDel="00000000" w:rsidP="00000000" w:rsidRDefault="00000000" w:rsidRPr="00000000" w14:paraId="00000027">
      <w:pPr>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28">
      <w:pPr>
        <w:ind w:left="2834" w:firstLine="0"/>
        <w:rPr>
          <w:rFonts w:ascii="Verdana" w:cs="Verdana" w:eastAsia="Verdana" w:hAnsi="Verdana"/>
          <w:color w:val="3c3c3b"/>
          <w:sz w:val="26"/>
          <w:szCs w:val="26"/>
        </w:rPr>
      </w:pP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MODELLO DI PROGETTO</w:t>
      </w:r>
    </w:p>
    <w:p w:rsidR="00000000" w:rsidDel="00000000" w:rsidP="00000000" w:rsidRDefault="00000000" w:rsidRPr="00000000" w14:paraId="0000002C">
      <w:pPr>
        <w:spacing w:before="120" w:lineRule="auto"/>
        <w:jc w:val="both"/>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02D">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DENOMINAZIONE RETE INNOVATIVA REGIONALE: </w:t>
      </w:r>
      <w:bookmarkStart w:colFirst="0" w:colLast="0" w:name="bookmark=id.gjdgxs" w:id="0"/>
      <w:bookmarkEnd w:id="0"/>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2E">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w:t>
      </w:r>
    </w:p>
    <w:p w:rsidR="00000000" w:rsidDel="00000000" w:rsidP="00000000" w:rsidRDefault="00000000" w:rsidRPr="00000000" w14:paraId="0000002F">
      <w:pPr>
        <w:spacing w:before="120" w:line="48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DENOMINAZIONE SOGGETTO GIURIDICO RAPPRESENTANTE</w:t>
      </w:r>
    </w:p>
    <w:p w:rsidR="00000000" w:rsidDel="00000000" w:rsidP="00000000" w:rsidRDefault="00000000" w:rsidRPr="00000000" w14:paraId="00000031">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w:t>
      </w:r>
    </w:p>
    <w:p w:rsidR="00000000" w:rsidDel="00000000" w:rsidP="00000000" w:rsidRDefault="00000000" w:rsidRPr="00000000" w14:paraId="00000032">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C.F. / P.IVA:</w:t>
      </w:r>
      <w:r w:rsidDel="00000000" w:rsidR="00000000" w:rsidRPr="00000000">
        <w:rPr>
          <w:rFonts w:ascii="Times New Roman" w:cs="Times New Roman" w:eastAsia="Times New Roman" w:hAnsi="Times New Roman"/>
          <w:b w:val="1"/>
          <w:sz w:val="22"/>
          <w:szCs w:val="22"/>
          <w:rtl w:val="0"/>
        </w:rPr>
        <w:t xml:space="preserve"> </w:t>
      </w:r>
      <w:bookmarkStart w:colFirst="0" w:colLast="0" w:name="bookmark=id.30j0zll" w:id="1"/>
      <w:bookmarkEnd w:id="1"/>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_____________________________________________</w:t>
      </w:r>
      <w:r w:rsidDel="00000000" w:rsidR="00000000" w:rsidRPr="00000000">
        <w:rPr>
          <w:rtl w:val="0"/>
        </w:rPr>
      </w:r>
    </w:p>
    <w:p w:rsidR="00000000" w:rsidDel="00000000" w:rsidP="00000000" w:rsidRDefault="00000000" w:rsidRPr="00000000" w14:paraId="00000033">
      <w:pPr>
        <w:keepNext w:val="1"/>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4">
      <w:pPr>
        <w:keepNext w:val="1"/>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5">
      <w:pPr>
        <w:keepNext w:val="1"/>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INDIRIZZO DELLA SEDE DEL SOGGETTO GIURIDICO RAPPRESENTANTE IN CUI VIENE REALIZZATO IL PROGETTO </w:t>
      </w:r>
    </w:p>
    <w:p w:rsidR="00000000" w:rsidDel="00000000" w:rsidP="00000000" w:rsidRDefault="00000000" w:rsidRPr="00000000" w14:paraId="00000036">
      <w:pPr>
        <w:spacing w:before="120"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_____________________________________________</w:t>
      </w:r>
    </w:p>
    <w:p w:rsidR="00000000" w:rsidDel="00000000" w:rsidP="00000000" w:rsidRDefault="00000000" w:rsidRPr="00000000" w14:paraId="00000037">
      <w:pPr>
        <w:keepNext w:val="1"/>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8">
      <w:pPr>
        <w:keepNext w:val="1"/>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9">
      <w:pPr>
        <w:keepNext w:val="1"/>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A">
      <w:pPr>
        <w:keepNext w:val="1"/>
        <w:spacing w:line="48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3C">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A </w:t>
      </w:r>
    </w:p>
    <w:p w:rsidR="00000000" w:rsidDel="00000000" w:rsidP="00000000" w:rsidRDefault="00000000" w:rsidRPr="00000000" w14:paraId="0000003D">
      <w:pPr>
        <w:keepNext w:val="1"/>
        <w:numPr>
          <w:ilvl w:val="0"/>
          <w:numId w:val="3"/>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COERENZA CON LA STRATEGIA DI SPECIALIZZAZIONE INTELLIGENTE (S3) DELLA REGIONE DEL VENETO 2021 – 2027</w:t>
      </w:r>
    </w:p>
    <w:p w:rsidR="00000000" w:rsidDel="00000000" w:rsidP="00000000" w:rsidRDefault="00000000" w:rsidRPr="00000000" w14:paraId="0000003E">
      <w:pPr>
        <w:keepNext w:val="1"/>
        <w:numPr>
          <w:ilvl w:val="0"/>
          <w:numId w:val="3"/>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CONFORMITA’ ALLE DISPOSIZIONI CONTENUTE NEL “RAPPORTO AMBIENTALE” CORREDATO DALLA “SINTESI NON TECNICA” E DALLO “STUDIO PER LA VALUTAZIONE DI INCIDENZA AMBIENTALE”</w:t>
      </w:r>
    </w:p>
    <w:p w:rsidR="00000000" w:rsidDel="00000000" w:rsidP="00000000" w:rsidRDefault="00000000" w:rsidRPr="00000000" w14:paraId="0000003F">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Descrivere in quali ambiti tematici della S3 Veneto 2021-2027 si colloca la Rete Innovativa Regionale. Per ciascun ambito tematico indicato, chiarire quali sono le traiettorie tecnologiche che interessano la RIR in rapporto alle priorità prefissate in termini di ricerca e sviluppo</w:t>
      </w: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1"/>
          <w:sz w:val="22"/>
          <w:szCs w:val="22"/>
          <w:rtl w:val="0"/>
        </w:rPr>
        <w:t xml:space="preserve">riferimenti:</w:t>
      </w:r>
    </w:p>
    <w:p w:rsidR="00000000" w:rsidDel="00000000" w:rsidP="00000000" w:rsidRDefault="00000000" w:rsidRPr="00000000" w14:paraId="00000043">
      <w:pPr>
        <w:numPr>
          <w:ilvl w:val="0"/>
          <w:numId w:val="1"/>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r w:rsidDel="00000000" w:rsidR="00000000" w:rsidRPr="00000000">
        <w:rPr>
          <w:rtl w:val="0"/>
        </w:rPr>
      </w:r>
    </w:p>
    <w:p w:rsidR="00000000" w:rsidDel="00000000" w:rsidP="00000000" w:rsidRDefault="00000000" w:rsidRPr="00000000" w14:paraId="00000044">
      <w:pPr>
        <w:numPr>
          <w:ilvl w:val="0"/>
          <w:numId w:val="1"/>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04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i w:val="1"/>
          <w:sz w:val="22"/>
          <w:szCs w:val="22"/>
        </w:rPr>
      </w:pPr>
      <w:r w:rsidDel="00000000" w:rsidR="00000000" w:rsidRPr="00000000">
        <w:rPr>
          <w:rtl w:val="0"/>
        </w:rPr>
      </w:r>
    </w:p>
    <w:tbl>
      <w:tblPr>
        <w:tblStyle w:val="Table1"/>
        <w:tblW w:w="95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85"/>
        <w:tblGridChange w:id="0">
          <w:tblGrid>
            <w:gridCol w:w="9585"/>
          </w:tblGrid>
        </w:tblGridChange>
      </w:tblGrid>
      <w:tr>
        <w:trPr>
          <w:cantSplit w:val="0"/>
          <w:trHeight w:val="5027" w:hRule="atLeast"/>
          <w:tblHeader w:val="0"/>
        </w:trPr>
        <w:tc>
          <w:tcPr>
            <w:shd w:fill="auto" w:val="clear"/>
          </w:tcPr>
          <w:p w:rsidR="00000000" w:rsidDel="00000000" w:rsidP="00000000" w:rsidRDefault="00000000" w:rsidRPr="00000000" w14:paraId="00000049">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4B">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4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INDIVIDUAZIONE DI DRIVER TRASVERSALI NELL’AMBITO DELLA SPECIFICA TRAIETTORIA TECNOLOGICA</w:t>
      </w:r>
    </w:p>
    <w:p w:rsidR="00000000" w:rsidDel="00000000" w:rsidP="00000000" w:rsidRDefault="00000000" w:rsidRPr="00000000" w14:paraId="0000004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quali Driver Trasversali (DT) la RIR intende intercettare, fornendo indicazione di come la RIR intende incidere in ogni DT indicato.</w:t>
      </w:r>
    </w:p>
    <w:p w:rsidR="00000000" w:rsidDel="00000000" w:rsidP="00000000" w:rsidRDefault="00000000" w:rsidRPr="00000000" w14:paraId="0000005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riferimenti:</w:t>
      </w:r>
    </w:p>
    <w:p w:rsidR="00000000" w:rsidDel="00000000" w:rsidP="00000000" w:rsidRDefault="00000000" w:rsidRPr="00000000" w14:paraId="00000052">
      <w:pPr>
        <w:numPr>
          <w:ilvl w:val="0"/>
          <w:numId w:val="9"/>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r w:rsidDel="00000000" w:rsidR="00000000" w:rsidRPr="00000000">
        <w:rPr>
          <w:rtl w:val="0"/>
        </w:rPr>
      </w:r>
    </w:p>
    <w:p w:rsidR="00000000" w:rsidDel="00000000" w:rsidP="00000000" w:rsidRDefault="00000000" w:rsidRPr="00000000" w14:paraId="00000053">
      <w:pPr>
        <w:numPr>
          <w:ilvl w:val="0"/>
          <w:numId w:val="9"/>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 per ciascun DT identificato)</w:t>
      </w:r>
    </w:p>
    <w:p w:rsidR="00000000" w:rsidDel="00000000" w:rsidP="00000000" w:rsidRDefault="00000000" w:rsidRPr="00000000" w14:paraId="00000056">
      <w:pPr>
        <w:jc w:val="both"/>
        <w:rPr>
          <w:rFonts w:ascii="Times New Roman" w:cs="Times New Roman" w:eastAsia="Times New Roman" w:hAnsi="Times New Roman"/>
          <w:sz w:val="22"/>
          <w:szCs w:val="22"/>
        </w:rPr>
      </w:pPr>
      <w:r w:rsidDel="00000000" w:rsidR="00000000" w:rsidRPr="00000000">
        <w:rPr>
          <w:rtl w:val="0"/>
        </w:rPr>
      </w:r>
    </w:p>
    <w:tbl>
      <w:tblPr>
        <w:tblStyle w:val="Table2"/>
        <w:tblW w:w="9570.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70"/>
        <w:tblGridChange w:id="0">
          <w:tblGrid>
            <w:gridCol w:w="9570"/>
          </w:tblGrid>
        </w:tblGridChange>
      </w:tblGrid>
      <w:tr>
        <w:trPr>
          <w:cantSplit w:val="0"/>
          <w:trHeight w:val="3818" w:hRule="atLeast"/>
          <w:tblHeader w:val="0"/>
        </w:trPr>
        <w:tc>
          <w:tcPr>
            <w:shd w:fill="auto" w:val="clear"/>
          </w:tcPr>
          <w:p w:rsidR="00000000" w:rsidDel="00000000" w:rsidP="00000000" w:rsidRDefault="00000000" w:rsidRPr="00000000" w14:paraId="00000057">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59">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5A">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INDIVIDUAZIONE DI UNA MISSIONE STRATEGICA DELLA S3 VENETO</w:t>
      </w:r>
    </w:p>
    <w:p w:rsidR="00000000" w:rsidDel="00000000" w:rsidP="00000000" w:rsidRDefault="00000000" w:rsidRPr="00000000" w14:paraId="0000005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se la RIR è anche in grado di collocarsi in una Missione Strategica (Bioeconomy o Space Economy) indicando, nel caso, come la RIR intende inserirsi nella Missione Strategica selezionata.</w:t>
      </w:r>
    </w:p>
    <w:p w:rsidR="00000000" w:rsidDel="00000000" w:rsidP="00000000" w:rsidRDefault="00000000" w:rsidRPr="00000000" w14:paraId="0000005F">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sz w:val="22"/>
          <w:szCs w:val="22"/>
          <w:rtl w:val="0"/>
        </w:rPr>
        <w:t xml:space="preserve">(r</w:t>
      </w:r>
      <w:r w:rsidDel="00000000" w:rsidR="00000000" w:rsidRPr="00000000">
        <w:rPr>
          <w:rFonts w:ascii="Times New Roman" w:cs="Times New Roman" w:eastAsia="Times New Roman" w:hAnsi="Times New Roman"/>
          <w:i w:val="1"/>
          <w:sz w:val="22"/>
          <w:szCs w:val="22"/>
          <w:rtl w:val="0"/>
        </w:rPr>
        <w:t xml:space="preserve">iferimenti:</w:t>
      </w:r>
    </w:p>
    <w:p w:rsidR="00000000" w:rsidDel="00000000" w:rsidP="00000000" w:rsidRDefault="00000000" w:rsidRPr="00000000" w14:paraId="00000061">
      <w:pPr>
        <w:numPr>
          <w:ilvl w:val="0"/>
          <w:numId w:val="9"/>
        </w:numPr>
        <w:ind w:left="720" w:hanging="360"/>
        <w:jc w:val="both"/>
        <w:rPr>
          <w:i w:val="1"/>
          <w:sz w:val="22"/>
          <w:szCs w:val="22"/>
        </w:rPr>
      </w:pPr>
      <w:r w:rsidDel="00000000" w:rsidR="00000000" w:rsidRPr="00000000">
        <w:rPr>
          <w:rFonts w:ascii="Times New Roman" w:cs="Times New Roman" w:eastAsia="Times New Roman" w:hAnsi="Times New Roman"/>
          <w:i w:val="1"/>
          <w:sz w:val="22"/>
          <w:szCs w:val="22"/>
          <w:rtl w:val="0"/>
        </w:rPr>
        <w:t xml:space="preserve">Appendice 1 al Bando;</w:t>
      </w:r>
      <w:r w:rsidDel="00000000" w:rsidR="00000000" w:rsidRPr="00000000">
        <w:rPr>
          <w:rtl w:val="0"/>
        </w:rPr>
      </w:r>
    </w:p>
    <w:p w:rsidR="00000000" w:rsidDel="00000000" w:rsidP="00000000" w:rsidRDefault="00000000" w:rsidRPr="00000000" w14:paraId="00000062">
      <w:pPr>
        <w:numPr>
          <w:ilvl w:val="0"/>
          <w:numId w:val="9"/>
        </w:numPr>
        <w:ind w:left="720" w:hanging="360"/>
        <w:jc w:val="both"/>
        <w:rPr>
          <w:sz w:val="22"/>
          <w:szCs w:val="22"/>
        </w:rPr>
      </w:pPr>
      <w:r w:rsidDel="00000000" w:rsidR="00000000" w:rsidRPr="00000000">
        <w:rPr>
          <w:rFonts w:ascii="Times New Roman" w:cs="Times New Roman" w:eastAsia="Times New Roman" w:hAnsi="Times New Roman"/>
          <w:i w:val="1"/>
          <w:sz w:val="22"/>
          <w:szCs w:val="22"/>
          <w:rtl w:val="0"/>
        </w:rPr>
        <w:t xml:space="preserve">Allegato A alla DGR n. 474 del 29 aprile 2022 “Strategia di Specializzazione Intelligente (S3) della Regione del Veneto 2021 – 2027”, pagg. 121-122 e da pag. 209 e seguenti.</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la Missione Strategica individuata e fornire relativa motivazione max. 3.000 caratteri)</w:t>
      </w:r>
    </w:p>
    <w:p w:rsidR="00000000" w:rsidDel="00000000" w:rsidP="00000000" w:rsidRDefault="00000000" w:rsidRPr="00000000" w14:paraId="00000065">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6">
      <w:pPr>
        <w:spacing w:line="48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Bioeconomy</w:t>
      </w:r>
    </w:p>
    <w:p w:rsidR="00000000" w:rsidDel="00000000" w:rsidP="00000000" w:rsidRDefault="00000000" w:rsidRPr="00000000" w14:paraId="00000067">
      <w:pPr>
        <w:spacing w:line="480"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8">
      <w:pPr>
        <w:spacing w:line="480" w:lineRule="auto"/>
        <w:jc w:val="both"/>
        <w:rPr>
          <w:rFonts w:ascii="Times New Roman" w:cs="Times New Roman" w:eastAsia="Times New Roman" w:hAnsi="Times New Roman"/>
          <w:sz w:val="22"/>
          <w:szCs w:val="22"/>
        </w:rPr>
      </w:pPr>
      <w:bookmarkStart w:colFirst="0" w:colLast="0" w:name="_heading=h.30j0zll" w:id="2"/>
      <w:bookmarkEnd w:id="2"/>
      <w:r w:rsidDel="00000000" w:rsidR="00000000" w:rsidRPr="00000000">
        <w:rPr>
          <w:rFonts w:ascii="Times New Roman" w:cs="Times New Roman" w:eastAsia="Times New Roman" w:hAnsi="Times New Roman"/>
          <w:b w:val="1"/>
          <w:sz w:val="22"/>
          <w:szCs w:val="22"/>
          <w:rtl w:val="0"/>
        </w:rPr>
        <w:t xml:space="preserve">☐ Space Economy</w:t>
      </w: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2"/>
          <w:szCs w:val="22"/>
        </w:rPr>
      </w:pPr>
      <w:r w:rsidDel="00000000" w:rsidR="00000000" w:rsidRPr="00000000">
        <w:rPr>
          <w:rtl w:val="0"/>
        </w:rPr>
      </w:r>
    </w:p>
    <w:tbl>
      <w:tblPr>
        <w:tblStyle w:val="Table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3818" w:hRule="atLeast"/>
          <w:tblHeader w:val="0"/>
        </w:trPr>
        <w:tc>
          <w:tcPr>
            <w:shd w:fill="auto" w:val="clear"/>
          </w:tcPr>
          <w:p w:rsidR="00000000" w:rsidDel="00000000" w:rsidP="00000000" w:rsidRDefault="00000000" w:rsidRPr="00000000" w14:paraId="0000006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6C">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6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SPECIFICAZIONE SULLA CONFORMITÀ DEL PROGETTO ALLE DISPOSIZIONI CONTENUTE NEL “RAPPORTO AMBIENTALE” CORREDATO DALLA “SINTESI NON TECNICA” E DALLO “STUDIO PER LA VALUTAZIONE DI INCIDENZA AMBIENTALE”</w:t>
      </w:r>
    </w:p>
    <w:p w:rsidR="00000000" w:rsidDel="00000000" w:rsidP="00000000" w:rsidRDefault="00000000" w:rsidRPr="00000000" w14:paraId="0000007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se e come la proposta progettuale comporta l'invarianza o il miglioramento, per unità di prodotto e/o servizi, delle prestazioni ambientali (a titolo esemplificativo: invarianza o diminuzione dei consumi energetici, idrici e di materie prime, assenza di nuove fonti di emissioni idriche, sonore, rifiuti, etc... </w:t>
      </w:r>
    </w:p>
    <w:p w:rsidR="00000000" w:rsidDel="00000000" w:rsidP="00000000" w:rsidRDefault="00000000" w:rsidRPr="00000000" w14:paraId="0000007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rif.  articolo 5, comma 5, lett. a) e b), del Bando e documentazione consultabile ai seguenti link: </w:t>
      </w:r>
      <w:hyperlink r:id="rId8">
        <w:r w:rsidDel="00000000" w:rsidR="00000000" w:rsidRPr="00000000">
          <w:rPr>
            <w:rFonts w:ascii="Times New Roman" w:cs="Times New Roman" w:eastAsia="Times New Roman" w:hAnsi="Times New Roman"/>
            <w:i w:val="1"/>
            <w:sz w:val="22"/>
            <w:szCs w:val="22"/>
            <w:u w:val="single"/>
            <w:rtl w:val="0"/>
          </w:rPr>
          <w:t xml:space="preserve">https://www.regione.veneto.it/web/programmi-comunitari/monitoraggio-vas-vinca#vas</w:t>
        </w:r>
      </w:hyperlink>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sz w:val="22"/>
          <w:szCs w:val="22"/>
        </w:rPr>
      </w:pPr>
      <w:hyperlink r:id="rId9">
        <w:r w:rsidDel="00000000" w:rsidR="00000000" w:rsidRPr="00000000">
          <w:rPr>
            <w:rFonts w:ascii="Times New Roman" w:cs="Times New Roman" w:eastAsia="Times New Roman" w:hAnsi="Times New Roman"/>
            <w:i w:val="1"/>
            <w:sz w:val="22"/>
            <w:szCs w:val="22"/>
            <w:u w:val="single"/>
            <w:rtl w:val="0"/>
          </w:rPr>
          <w:t xml:space="preserve">https://www.regione.veneto.it/web/agricoltura-e-foreste/download</w:t>
        </w:r>
      </w:hyperlink>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74">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1.000 caratteri)</w:t>
      </w:r>
    </w:p>
    <w:p w:rsidR="00000000" w:rsidDel="00000000" w:rsidP="00000000" w:rsidRDefault="00000000" w:rsidRPr="00000000" w14:paraId="00000076">
      <w:pPr>
        <w:jc w:val="both"/>
        <w:rPr>
          <w:rFonts w:ascii="Times New Roman" w:cs="Times New Roman" w:eastAsia="Times New Roman" w:hAnsi="Times New Roman"/>
          <w:sz w:val="22"/>
          <w:szCs w:val="22"/>
        </w:rPr>
      </w:pPr>
      <w:r w:rsidDel="00000000" w:rsidR="00000000" w:rsidRPr="00000000">
        <w:rPr>
          <w:rtl w:val="0"/>
        </w:rPr>
      </w:r>
    </w:p>
    <w:tbl>
      <w:tblPr>
        <w:tblStyle w:val="Table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77">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79">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7A">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B">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C">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B –  STRUTTURAZIONE ORGANIZZATIVA DEL SOGGETTO GIURIDICO</w:t>
      </w:r>
    </w:p>
    <w:p w:rsidR="00000000" w:rsidDel="00000000" w:rsidP="00000000" w:rsidRDefault="00000000" w:rsidRPr="00000000" w14:paraId="0000007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la strutturazione organizzativa attuale del soggetto giuridico e riportare il suo organigramma. Indicare inoltre quante unità di personale sono attualmente assunte dal soggetto giuridico con rapporto di lavoro subordinato e il numero di nuove assunzioni che il soggetto giuridico effettuerà dopo la presentazione della domanda di sostegno.</w:t>
      </w:r>
    </w:p>
    <w:p w:rsidR="00000000" w:rsidDel="00000000" w:rsidP="00000000" w:rsidRDefault="00000000" w:rsidRPr="00000000" w14:paraId="0000007E">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80">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2"/>
          <w:szCs w:val="22"/>
        </w:rPr>
      </w:pPr>
      <w:r w:rsidDel="00000000" w:rsidR="00000000" w:rsidRPr="00000000">
        <w:rPr>
          <w:rtl w:val="0"/>
        </w:rPr>
      </w:r>
    </w:p>
    <w:tbl>
      <w:tblPr>
        <w:tblStyle w:val="Table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8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083">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84">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085">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6">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Individuazione dei nominativi dei </w:t>
      </w:r>
      <w:r w:rsidDel="00000000" w:rsidR="00000000" w:rsidRPr="00000000">
        <w:rPr>
          <w:rFonts w:ascii="Times New Roman" w:cs="Times New Roman" w:eastAsia="Times New Roman" w:hAnsi="Times New Roman"/>
          <w:b w:val="1"/>
          <w:sz w:val="22"/>
          <w:szCs w:val="22"/>
          <w:rtl w:val="0"/>
        </w:rPr>
        <w:t xml:space="preserve">cluster manager</w:t>
      </w:r>
      <w:r w:rsidDel="00000000" w:rsidR="00000000" w:rsidRPr="00000000">
        <w:rPr>
          <w:rFonts w:ascii="Times New Roman" w:cs="Times New Roman" w:eastAsia="Times New Roman" w:hAnsi="Times New Roman"/>
          <w:sz w:val="22"/>
          <w:szCs w:val="22"/>
          <w:rtl w:val="0"/>
        </w:rPr>
        <w:t xml:space="preserve"> già operativi presso il soggetto giuridico</w:t>
      </w:r>
    </w:p>
    <w:p w:rsidR="00000000" w:rsidDel="00000000" w:rsidP="00000000" w:rsidRDefault="00000000" w:rsidRPr="00000000" w14:paraId="00000088">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9">
      <w:pPr>
        <w:keepNext w:val="1"/>
        <w:numPr>
          <w:ilvl w:val="0"/>
          <w:numId w:val="2"/>
        </w:numPr>
        <w:spacing w:line="36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______________________________</w:t>
      </w:r>
    </w:p>
    <w:p w:rsidR="00000000" w:rsidDel="00000000" w:rsidP="00000000" w:rsidRDefault="00000000" w:rsidRPr="00000000" w14:paraId="0000008A">
      <w:pPr>
        <w:keepNext w:val="1"/>
        <w:numPr>
          <w:ilvl w:val="0"/>
          <w:numId w:val="2"/>
        </w:numPr>
        <w:spacing w:line="36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______________________________</w:t>
      </w:r>
    </w:p>
    <w:p w:rsidR="00000000" w:rsidDel="00000000" w:rsidP="00000000" w:rsidRDefault="00000000" w:rsidRPr="00000000" w14:paraId="0000008B">
      <w:pPr>
        <w:keepNext w:val="1"/>
        <w:numPr>
          <w:ilvl w:val="0"/>
          <w:numId w:val="2"/>
        </w:numPr>
        <w:spacing w:line="360" w:lineRule="auto"/>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______________________________</w:t>
      </w:r>
    </w:p>
    <w:p w:rsidR="00000000" w:rsidDel="00000000" w:rsidP="00000000" w:rsidRDefault="00000000" w:rsidRPr="00000000" w14:paraId="0000008C">
      <w:pPr>
        <w:keepNext w:val="1"/>
        <w:spacing w:line="360"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D">
      <w:pPr>
        <w:keepNext w:val="1"/>
        <w:spacing w:line="360" w:lineRule="auto"/>
        <w:ind w:lef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Individuazione dei nominativi dei </w:t>
      </w:r>
      <w:r w:rsidDel="00000000" w:rsidR="00000000" w:rsidRPr="00000000">
        <w:rPr>
          <w:rFonts w:ascii="Times New Roman" w:cs="Times New Roman" w:eastAsia="Times New Roman" w:hAnsi="Times New Roman"/>
          <w:b w:val="1"/>
          <w:sz w:val="22"/>
          <w:szCs w:val="22"/>
          <w:rtl w:val="0"/>
        </w:rPr>
        <w:t xml:space="preserve">responsabili scientifici</w:t>
      </w:r>
      <w:r w:rsidDel="00000000" w:rsidR="00000000" w:rsidRPr="00000000">
        <w:rPr>
          <w:rFonts w:ascii="Times New Roman" w:cs="Times New Roman" w:eastAsia="Times New Roman" w:hAnsi="Times New Roman"/>
          <w:sz w:val="22"/>
          <w:szCs w:val="22"/>
          <w:rtl w:val="0"/>
        </w:rPr>
        <w:t xml:space="preserve"> già operativi presso il soggetto giuridico</w:t>
      </w:r>
    </w:p>
    <w:p w:rsidR="00000000" w:rsidDel="00000000" w:rsidP="00000000" w:rsidRDefault="00000000" w:rsidRPr="00000000" w14:paraId="0000008E">
      <w:pPr>
        <w:keepNext w:val="1"/>
        <w:spacing w:line="360"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F">
      <w:pPr>
        <w:keepNext w:val="1"/>
        <w:numPr>
          <w:ilvl w:val="0"/>
          <w:numId w:val="2"/>
        </w:numPr>
        <w:spacing w:line="3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w:t>
      </w:r>
    </w:p>
    <w:p w:rsidR="00000000" w:rsidDel="00000000" w:rsidP="00000000" w:rsidRDefault="00000000" w:rsidRPr="00000000" w14:paraId="00000090">
      <w:pPr>
        <w:keepNext w:val="1"/>
        <w:spacing w:line="360"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1">
      <w:pPr>
        <w:keepNext w:val="1"/>
        <w:spacing w:line="360" w:lineRule="auto"/>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Titolo di studio posseduto: _______________________</w:t>
      </w:r>
    </w:p>
    <w:p w:rsidR="00000000" w:rsidDel="00000000" w:rsidP="00000000" w:rsidRDefault="00000000" w:rsidRPr="00000000" w14:paraId="00000092">
      <w:pPr>
        <w:keepNext w:val="1"/>
        <w:spacing w:line="360"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3">
      <w:pPr>
        <w:keepNext w:val="1"/>
        <w:numPr>
          <w:ilvl w:val="0"/>
          <w:numId w:val="2"/>
        </w:numPr>
        <w:spacing w:line="360"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w:t>
      </w:r>
    </w:p>
    <w:p w:rsidR="00000000" w:rsidDel="00000000" w:rsidP="00000000" w:rsidRDefault="00000000" w:rsidRPr="00000000" w14:paraId="00000094">
      <w:pPr>
        <w:keepNext w:val="1"/>
        <w:spacing w:line="360"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5">
      <w:pPr>
        <w:keepNext w:val="1"/>
        <w:spacing w:line="360" w:lineRule="auto"/>
        <w:ind w:left="72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Titolo di studio posseduto: _______________________</w:t>
      </w:r>
    </w:p>
    <w:p w:rsidR="00000000" w:rsidDel="00000000" w:rsidP="00000000" w:rsidRDefault="00000000" w:rsidRPr="00000000" w14:paraId="00000096">
      <w:pPr>
        <w:keepNext w:val="1"/>
        <w:spacing w:line="360"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i w:val="1"/>
          <w:sz w:val="22"/>
          <w:szCs w:val="22"/>
          <w:rtl w:val="0"/>
        </w:rPr>
        <w:t xml:space="preserve">N.B. in caso di scelta dell’opzione di semplificazione dei costi n. 1 (cfr. Allegato A, art. 6, comma 2):</w:t>
      </w:r>
      <w:r w:rsidDel="00000000" w:rsidR="00000000" w:rsidRPr="00000000">
        <w:rPr>
          <w:rFonts w:ascii="Times New Roman" w:cs="Times New Roman" w:eastAsia="Times New Roman" w:hAnsi="Times New Roman"/>
          <w:i w:val="1"/>
          <w:sz w:val="22"/>
          <w:szCs w:val="22"/>
          <w:rtl w:val="0"/>
        </w:rPr>
        <w:t xml:space="preserve"> si richiama l’attenzione sulla necessità di preventiva identificazione del monte ore annuo di impegno previsto  e del relativo costo orario applicato (rif. Allegato A, articolo 6, comma 1, categoria “A - Costi di staff”).</w:t>
      </w:r>
    </w:p>
    <w:p w:rsidR="00000000" w:rsidDel="00000000" w:rsidP="00000000" w:rsidRDefault="00000000" w:rsidRPr="00000000" w14:paraId="00000099">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9B">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C – IDENTIFICAZIONE DELLE ATTIVITA’ DI PROGETTO</w:t>
      </w:r>
    </w:p>
    <w:p w:rsidR="00000000" w:rsidDel="00000000" w:rsidP="00000000" w:rsidRDefault="00000000" w:rsidRPr="00000000" w14:paraId="0000009C">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Contrassegnare </w:t>
      </w:r>
      <w:r w:rsidDel="00000000" w:rsidR="00000000" w:rsidRPr="00000000">
        <w:rPr>
          <w:rFonts w:ascii="Times New Roman" w:cs="Times New Roman" w:eastAsia="Times New Roman" w:hAnsi="Times New Roman"/>
          <w:rtl w:val="0"/>
        </w:rPr>
        <w:t xml:space="preserve">le attività</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 progetto, identificare gli obiettivi da raggiungere e fornire descrizione delle </w:t>
      </w:r>
      <w:r w:rsidDel="00000000" w:rsidR="00000000" w:rsidRPr="00000000">
        <w:rPr>
          <w:rFonts w:ascii="Times New Roman" w:cs="Times New Roman" w:eastAsia="Times New Roman" w:hAnsi="Times New Roman"/>
          <w:rtl w:val="0"/>
        </w:rPr>
        <w:t xml:space="preserve">azioni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esecutive previste per il raggiungimento degli obiettivi previsti.</w:t>
      </w:r>
    </w:p>
    <w:p w:rsidR="00000000" w:rsidDel="00000000" w:rsidP="00000000" w:rsidRDefault="00000000" w:rsidRPr="00000000" w14:paraId="0000009D">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 caso il soggetto giuridico intenda presentare domanda di pagamento di un acconto su rendiconto intermedio di spesa, identificare i risultati intermedi da raggiungere e i relativi deliverables/output che ne attestano il raggiungimento.</w:t>
      </w:r>
    </w:p>
    <w:p w:rsidR="00000000" w:rsidDel="00000000" w:rsidP="00000000" w:rsidRDefault="00000000" w:rsidRPr="00000000" w14:paraId="0000009E">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Identificare i risultati finali da raggiungere e i relativi deliverables/output che ne attestano il raggiungimento.</w:t>
      </w:r>
    </w:p>
    <w:p w:rsidR="00000000" w:rsidDel="00000000" w:rsidP="00000000" w:rsidRDefault="00000000" w:rsidRPr="00000000" w14:paraId="0000009F">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informazioni relative al budget di spesa devono essere analiticamente indicate in “SIU”.</w:t>
      </w:r>
    </w:p>
    <w:p w:rsidR="00000000" w:rsidDel="00000000" w:rsidP="00000000" w:rsidRDefault="00000000" w:rsidRPr="00000000" w14:paraId="000000A0">
      <w:pPr>
        <w:keepNext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keepNext w:val="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rtl w:val="0"/>
        </w:rPr>
        <w:t xml:space="preserve">ATTIVITA’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(obbligatori</w:t>
      </w:r>
      <w:r w:rsidDel="00000000" w:rsidR="00000000" w:rsidRPr="00000000">
        <w:rPr>
          <w:rFonts w:ascii="Times New Roman" w:cs="Times New Roman" w:eastAsia="Times New Roman" w:hAnsi="Times New Roman"/>
          <w:b w:val="1"/>
          <w:rtl w:val="0"/>
        </w:rPr>
        <w:t xml:space="preserve">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4">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Consolidamento delle funzioni di governance e management della RIR</w:t>
      </w:r>
    </w:p>
    <w:p w:rsidR="00000000" w:rsidDel="00000000" w:rsidP="00000000" w:rsidRDefault="00000000" w:rsidRPr="00000000" w14:paraId="000000A5">
      <w:pPr>
        <w:keepNext w:val="1"/>
        <w:jc w:val="both"/>
        <w:rPr>
          <w:rFonts w:ascii="Times New Roman" w:cs="Times New Roman" w:eastAsia="Times New Roman" w:hAnsi="Times New Roman"/>
          <w:sz w:val="22"/>
          <w:szCs w:val="22"/>
        </w:rPr>
      </w:pPr>
      <w:bookmarkStart w:colFirst="0" w:colLast="0" w:name="_heading=h.gjdgxs" w:id="3"/>
      <w:bookmarkEnd w:id="3"/>
      <w:r w:rsidDel="00000000" w:rsidR="00000000" w:rsidRPr="00000000">
        <w:rPr>
          <w:rFonts w:ascii="Times New Roman" w:cs="Times New Roman" w:eastAsia="Times New Roman" w:hAnsi="Times New Roman"/>
          <w:sz w:val="22"/>
          <w:szCs w:val="22"/>
          <w:rtl w:val="0"/>
        </w:rPr>
        <w:t xml:space="preserve">Interventi di rafforzamento delle capacità operative, manageriali e amministrative del soggetto giuridico, a partire dalla definizione del modello di governance, della strutturazione organizzativa, dei meccanismi di funzionamento e gestione del processo decisionale, di procedure e modalità organizzative, fino all’attrezzaggio della sede del soggetto giuridico attraverso l’acquisto e l’installazione di beni strumentali per l’attività d’ufficio. I risultati del consolidamento dovranno comunque garantire l’ascolto, la partecipazione e l’inclusività di tutti i partner della RIR.</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Per il miglioramento delle funzioni amministrative e gestionali è ammessa la possibilità di attuare sinergie con altre RIR prevedendo funzioni condivise con i rispettivi soggetti giuridici.</w:t>
      </w:r>
    </w:p>
    <w:p w:rsidR="00000000" w:rsidDel="00000000" w:rsidP="00000000" w:rsidRDefault="00000000" w:rsidRPr="00000000" w14:paraId="000000A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0A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A9">
      <w:pPr>
        <w:jc w:val="both"/>
        <w:rPr>
          <w:rFonts w:ascii="Times New Roman" w:cs="Times New Roman" w:eastAsia="Times New Roman" w:hAnsi="Times New Roman"/>
          <w:sz w:val="22"/>
          <w:szCs w:val="22"/>
        </w:rPr>
      </w:pPr>
      <w:r w:rsidDel="00000000" w:rsidR="00000000" w:rsidRPr="00000000">
        <w:rPr>
          <w:rtl w:val="0"/>
        </w:rPr>
      </w:r>
    </w:p>
    <w:tbl>
      <w:tblPr>
        <w:tblStyle w:val="Table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0A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AC">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AD">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E">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0B0">
      <w:pPr>
        <w:jc w:val="both"/>
        <w:rPr>
          <w:rFonts w:ascii="Times New Roman" w:cs="Times New Roman" w:eastAsia="Times New Roman" w:hAnsi="Times New Roman"/>
          <w:sz w:val="22"/>
          <w:szCs w:val="22"/>
        </w:rPr>
      </w:pPr>
      <w:r w:rsidDel="00000000" w:rsidR="00000000" w:rsidRPr="00000000">
        <w:rPr>
          <w:rtl w:val="0"/>
        </w:rPr>
      </w:r>
    </w:p>
    <w:tbl>
      <w:tblPr>
        <w:tblStyle w:val="Table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B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B3">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B4">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0B6">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0B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B8">
      <w:pPr>
        <w:jc w:val="both"/>
        <w:rPr>
          <w:rFonts w:ascii="Times New Roman" w:cs="Times New Roman" w:eastAsia="Times New Roman" w:hAnsi="Times New Roman"/>
          <w:sz w:val="22"/>
          <w:szCs w:val="22"/>
        </w:rPr>
      </w:pPr>
      <w:r w:rsidDel="00000000" w:rsidR="00000000" w:rsidRPr="00000000">
        <w:rPr>
          <w:rtl w:val="0"/>
        </w:rPr>
      </w:r>
    </w:p>
    <w:tbl>
      <w:tblPr>
        <w:tblStyle w:val="Table8"/>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B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BB">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BC">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B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0B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C0">
      <w:pPr>
        <w:jc w:val="both"/>
        <w:rPr>
          <w:rFonts w:ascii="Times New Roman" w:cs="Times New Roman" w:eastAsia="Times New Roman" w:hAnsi="Times New Roman"/>
          <w:sz w:val="22"/>
          <w:szCs w:val="22"/>
        </w:rPr>
      </w:pPr>
      <w:r w:rsidDel="00000000" w:rsidR="00000000" w:rsidRPr="00000000">
        <w:rPr>
          <w:rtl w:val="0"/>
        </w:rPr>
      </w:r>
    </w:p>
    <w:tbl>
      <w:tblPr>
        <w:tblStyle w:val="Table9"/>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     </w:t>
            </w:r>
          </w:p>
          <w:p w:rsidR="00000000" w:rsidDel="00000000" w:rsidP="00000000" w:rsidRDefault="00000000" w:rsidRPr="00000000" w14:paraId="000000C3">
            <w:pPr>
              <w:rPr/>
            </w:pPr>
            <w:r w:rsidDel="00000000" w:rsidR="00000000" w:rsidRPr="00000000">
              <w:rPr>
                <w:rtl w:val="0"/>
              </w:rPr>
            </w:r>
          </w:p>
        </w:tc>
      </w:tr>
    </w:tbl>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w:t>
      </w:r>
      <w:r w:rsidDel="00000000" w:rsidR="00000000" w:rsidRPr="00000000">
        <w:rPr>
          <w:rFonts w:ascii="Times New Roman" w:cs="Times New Roman" w:eastAsia="Times New Roman" w:hAnsi="Times New Roman"/>
          <w:i w:val="1"/>
          <w:sz w:val="22"/>
          <w:szCs w:val="22"/>
          <w:rtl w:val="0"/>
        </w:rPr>
        <w:t xml:space="preserve">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0C7">
      <w:pPr>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C8">
      <w:pPr>
        <w:rPr/>
      </w:pPr>
      <w:r w:rsidDel="00000000" w:rsidR="00000000" w:rsidRPr="00000000">
        <w:rPr>
          <w:rFonts w:ascii="Times New Roman" w:cs="Times New Roman" w:eastAsia="Times New Roman" w:hAnsi="Times New Roman"/>
          <w:sz w:val="22"/>
          <w:szCs w:val="22"/>
          <w:rtl w:val="0"/>
        </w:rPr>
        <w:t xml:space="preserve">Rispett</w:t>
      </w:r>
      <w:r w:rsidDel="00000000" w:rsidR="00000000" w:rsidRPr="00000000">
        <w:rPr>
          <w:rFonts w:ascii="Times New Roman" w:cs="Times New Roman" w:eastAsia="Times New Roman" w:hAnsi="Times New Roman"/>
          <w:sz w:val="22"/>
          <w:szCs w:val="22"/>
          <w:rtl w:val="0"/>
        </w:rPr>
        <w:t xml:space="preserve">o al totale (100%) delle spese previste, l’Attività 1 “Consolidamento delle funzioni di governance e management della RIR” incide per la seguente quota di spesa:</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Fonts w:ascii="Times New Roman" w:cs="Times New Roman" w:eastAsia="Times New Roman" w:hAnsi="Times New Roman"/>
          <w:b w:val="1"/>
          <w:sz w:val="22"/>
          <w:szCs w:val="22"/>
          <w:rtl w:val="0"/>
        </w:rPr>
        <w:t xml:space="preserve">______ %</w:t>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keepNext w:val="1"/>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ATTIVITA’ 2 (obbligatoria)</w:t>
      </w: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pPr>
      <w:r w:rsidDel="00000000" w:rsidR="00000000" w:rsidRPr="00000000">
        <w:rPr>
          <w:rFonts w:ascii="Times New Roman" w:cs="Times New Roman" w:eastAsia="Times New Roman" w:hAnsi="Times New Roman"/>
          <w:b w:val="1"/>
          <w:rtl w:val="0"/>
        </w:rPr>
        <w:t xml:space="preserve">Networking, animazione, programmazione</w:t>
      </w: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Realizzazione di attività dirette ad allargare l’ecosistema dell’innovazione. Rientrano in questo ambito tutte le azioni funzionali al rafforzamento del partenariato in termini di:</w:t>
      </w:r>
    </w:p>
    <w:p w:rsidR="00000000" w:rsidDel="00000000" w:rsidP="00000000" w:rsidRDefault="00000000" w:rsidRPr="00000000" w14:paraId="000000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pianificazione strategica e programmazione esecutiva, pienamente condivisa tra i partner;</w:t>
      </w:r>
    </w:p>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elaborazione di strategie di allargamento della partnership retista e di iniziative di coinvolgimento degli stakeholder interessati;</w:t>
      </w:r>
    </w:p>
    <w:p w:rsidR="00000000" w:rsidDel="00000000" w:rsidP="00000000" w:rsidRDefault="00000000" w:rsidRPr="00000000" w14:paraId="000000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attuazione di interventi di potenziamento della cooperazione tra soggetti pubblici e privati (in particolare le sinergie tra imprese e organismi di ricerca);</w:t>
      </w:r>
    </w:p>
    <w:p w:rsidR="00000000" w:rsidDel="00000000" w:rsidP="00000000" w:rsidRDefault="00000000" w:rsidRPr="00000000" w14:paraId="000000D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progettazione di iniziative di trasferimento tecnologico, di diffusione di buone pratiche, di disseminazione dei risultati della ricerca, di valorizzazione di eccellenze e specificità.</w:t>
      </w:r>
    </w:p>
    <w:p w:rsidR="00000000" w:rsidDel="00000000" w:rsidP="00000000" w:rsidRDefault="00000000" w:rsidRPr="00000000" w14:paraId="000000D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8">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D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0D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DB">
      <w:pPr>
        <w:jc w:val="both"/>
        <w:rPr>
          <w:rFonts w:ascii="Times New Roman" w:cs="Times New Roman" w:eastAsia="Times New Roman" w:hAnsi="Times New Roman"/>
          <w:sz w:val="22"/>
          <w:szCs w:val="22"/>
        </w:rPr>
      </w:pPr>
      <w:r w:rsidDel="00000000" w:rsidR="00000000" w:rsidRPr="00000000">
        <w:rPr>
          <w:rtl w:val="0"/>
        </w:rPr>
      </w:r>
    </w:p>
    <w:tbl>
      <w:tblPr>
        <w:tblStyle w:val="Table10"/>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0D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DE">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DF">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E0">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0E2">
      <w:pPr>
        <w:jc w:val="both"/>
        <w:rPr>
          <w:rFonts w:ascii="Times New Roman" w:cs="Times New Roman" w:eastAsia="Times New Roman" w:hAnsi="Times New Roman"/>
          <w:sz w:val="22"/>
          <w:szCs w:val="22"/>
        </w:rPr>
      </w:pPr>
      <w:r w:rsidDel="00000000" w:rsidR="00000000" w:rsidRPr="00000000">
        <w:rPr>
          <w:rtl w:val="0"/>
        </w:rPr>
      </w:r>
    </w:p>
    <w:tbl>
      <w:tblPr>
        <w:tblStyle w:val="Table11"/>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E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E5">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E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E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0E8">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0E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0EA">
      <w:pPr>
        <w:jc w:val="both"/>
        <w:rPr>
          <w:rFonts w:ascii="Times New Roman" w:cs="Times New Roman" w:eastAsia="Times New Roman" w:hAnsi="Times New Roman"/>
          <w:sz w:val="22"/>
          <w:szCs w:val="22"/>
        </w:rPr>
      </w:pPr>
      <w:r w:rsidDel="00000000" w:rsidR="00000000" w:rsidRPr="00000000">
        <w:rPr>
          <w:rtl w:val="0"/>
        </w:rPr>
      </w:r>
    </w:p>
    <w:tbl>
      <w:tblPr>
        <w:tblStyle w:val="Table12"/>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E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ED">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EE">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EF">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0F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0F2">
      <w:pPr>
        <w:jc w:val="both"/>
        <w:rPr>
          <w:rFonts w:ascii="Times New Roman" w:cs="Times New Roman" w:eastAsia="Times New Roman" w:hAnsi="Times New Roman"/>
          <w:sz w:val="22"/>
          <w:szCs w:val="22"/>
        </w:rPr>
      </w:pPr>
      <w:r w:rsidDel="00000000" w:rsidR="00000000" w:rsidRPr="00000000">
        <w:rPr>
          <w:rtl w:val="0"/>
        </w:rPr>
      </w:r>
    </w:p>
    <w:tbl>
      <w:tblPr>
        <w:tblStyle w:val="Table1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0F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F5">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0F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F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F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0F9">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0FA">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0F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2 “Networking, animazione, programmazione” incide per la seguente quota di spesa:</w:t>
      </w:r>
    </w:p>
    <w:p w:rsidR="00000000" w:rsidDel="00000000" w:rsidP="00000000" w:rsidRDefault="00000000" w:rsidRPr="00000000" w14:paraId="000000FC">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FD">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0F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0FF">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100">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01">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02">
      <w:pPr>
        <w:keepNext w:val="1"/>
        <w:numPr>
          <w:ilvl w:val="0"/>
          <w:numId w:val="7"/>
        </w:numPr>
        <w:ind w:left="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ATTIVITA’ 3 (obbligatoria)</w:t>
      </w:r>
    </w:p>
    <w:p w:rsidR="00000000" w:rsidDel="00000000" w:rsidP="00000000" w:rsidRDefault="00000000" w:rsidRPr="00000000" w14:paraId="000001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Comunicazione e promozione online e offline</w:t>
      </w:r>
    </w:p>
    <w:p w:rsidR="00000000" w:rsidDel="00000000" w:rsidP="00000000" w:rsidRDefault="00000000" w:rsidRPr="00000000" w14:paraId="00000105">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Attuazione esecutiva delle azioni comunicative relative a:</w:t>
      </w:r>
    </w:p>
    <w:p w:rsidR="00000000" w:rsidDel="00000000" w:rsidP="00000000" w:rsidRDefault="00000000" w:rsidRPr="00000000" w14:paraId="00000106">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realizzazione di eventi plenari pubblici;</w:t>
      </w:r>
    </w:p>
    <w:p w:rsidR="00000000" w:rsidDel="00000000" w:rsidP="00000000" w:rsidRDefault="00000000" w:rsidRPr="00000000" w14:paraId="00000107">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realizzazione di seminari, workshop, focus group;</w:t>
      </w:r>
    </w:p>
    <w:p w:rsidR="00000000" w:rsidDel="00000000" w:rsidP="00000000" w:rsidRDefault="00000000" w:rsidRPr="00000000" w14:paraId="00000108">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produzione e invio di newsletter della RIR;</w:t>
      </w:r>
    </w:p>
    <w:p w:rsidR="00000000" w:rsidDel="00000000" w:rsidP="00000000" w:rsidRDefault="00000000" w:rsidRPr="00000000" w14:paraId="00000109">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gestione e aggiornamento del sito Web della RIR;</w:t>
      </w:r>
    </w:p>
    <w:p w:rsidR="00000000" w:rsidDel="00000000" w:rsidP="00000000" w:rsidRDefault="00000000" w:rsidRPr="00000000" w14:paraId="0000010A">
      <w:pPr>
        <w:widowControl w:val="0"/>
        <w:tabs>
          <w:tab w:val="left" w:leader="none" w:pos="603"/>
        </w:tabs>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creazione, gestione, aggiornamento dei profili social della RIR.</w:t>
      </w:r>
    </w:p>
    <w:p w:rsidR="00000000" w:rsidDel="00000000" w:rsidP="00000000" w:rsidRDefault="00000000" w:rsidRPr="00000000" w14:paraId="0000010B">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Tutte le iniziative di comunicazione dovranno impiegare la nuova immagine coordinata “</w:t>
      </w:r>
      <w:r w:rsidDel="00000000" w:rsidR="00000000" w:rsidRPr="00000000">
        <w:rPr>
          <w:rFonts w:ascii="Times New Roman" w:cs="Times New Roman" w:eastAsia="Times New Roman" w:hAnsi="Times New Roman"/>
          <w:b w:val="1"/>
          <w:sz w:val="22"/>
          <w:szCs w:val="22"/>
          <w:rtl w:val="0"/>
        </w:rPr>
        <w:t xml:space="preserve">InnovatiVE</w:t>
      </w:r>
      <w:r w:rsidDel="00000000" w:rsidR="00000000" w:rsidRPr="00000000">
        <w:rPr>
          <w:rFonts w:ascii="Times New Roman" w:cs="Times New Roman" w:eastAsia="Times New Roman" w:hAnsi="Times New Roman"/>
          <w:sz w:val="22"/>
          <w:szCs w:val="22"/>
          <w:rtl w:val="0"/>
        </w:rPr>
        <w:t xml:space="preserve">” ed essere finalizzate a diffondere informazioni su vision strategica, programmazione, obiettivi della RIR, a un pubblico comunque costituito da un’ampia pluralità e varietà di stakeholder (imprese dei settori produttivi di riferimento, enti di ricerca, enti locali di riferimento, istituzioni nazionali e internazionali, comunità di investitori, società civile).</w:t>
      </w:r>
      <w:r w:rsidDel="00000000" w:rsidR="00000000" w:rsidRPr="00000000">
        <w:rPr>
          <w:rtl w:val="0"/>
        </w:rPr>
      </w:r>
    </w:p>
    <w:p w:rsidR="00000000" w:rsidDel="00000000" w:rsidP="00000000" w:rsidRDefault="00000000" w:rsidRPr="00000000" w14:paraId="0000010C">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0D">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0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0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10">
      <w:pPr>
        <w:jc w:val="both"/>
        <w:rPr>
          <w:rFonts w:ascii="Times New Roman" w:cs="Times New Roman" w:eastAsia="Times New Roman" w:hAnsi="Times New Roman"/>
          <w:sz w:val="22"/>
          <w:szCs w:val="22"/>
        </w:rPr>
      </w:pPr>
      <w:r w:rsidDel="00000000" w:rsidR="00000000" w:rsidRPr="00000000">
        <w:rPr>
          <w:rtl w:val="0"/>
        </w:rPr>
      </w:r>
    </w:p>
    <w:tbl>
      <w:tblPr>
        <w:tblStyle w:val="Table1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1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13">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14">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5">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11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17">
      <w:pPr>
        <w:jc w:val="both"/>
        <w:rPr>
          <w:rFonts w:ascii="Times New Roman" w:cs="Times New Roman" w:eastAsia="Times New Roman" w:hAnsi="Times New Roman"/>
          <w:sz w:val="22"/>
          <w:szCs w:val="22"/>
        </w:rPr>
      </w:pPr>
      <w:r w:rsidDel="00000000" w:rsidR="00000000" w:rsidRPr="00000000">
        <w:rPr>
          <w:rtl w:val="0"/>
        </w:rPr>
      </w:r>
    </w:p>
    <w:tbl>
      <w:tblPr>
        <w:tblStyle w:val="Table1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1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1A">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1B">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1C">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11D">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11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1F">
      <w:pPr>
        <w:jc w:val="both"/>
        <w:rPr>
          <w:rFonts w:ascii="Times New Roman" w:cs="Times New Roman" w:eastAsia="Times New Roman" w:hAnsi="Times New Roman"/>
          <w:sz w:val="22"/>
          <w:szCs w:val="22"/>
        </w:rPr>
      </w:pPr>
      <w:r w:rsidDel="00000000" w:rsidR="00000000" w:rsidRPr="00000000">
        <w:rPr>
          <w:rtl w:val="0"/>
        </w:rPr>
      </w:r>
    </w:p>
    <w:tbl>
      <w:tblPr>
        <w:tblStyle w:val="Table1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2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22">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2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24">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2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12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127">
      <w:pPr>
        <w:jc w:val="both"/>
        <w:rPr>
          <w:rFonts w:ascii="Times New Roman" w:cs="Times New Roman" w:eastAsia="Times New Roman" w:hAnsi="Times New Roman"/>
          <w:sz w:val="22"/>
          <w:szCs w:val="22"/>
        </w:rPr>
      </w:pPr>
      <w:r w:rsidDel="00000000" w:rsidR="00000000" w:rsidRPr="00000000">
        <w:rPr>
          <w:rtl w:val="0"/>
        </w:rPr>
      </w:r>
    </w:p>
    <w:tbl>
      <w:tblPr>
        <w:tblStyle w:val="Table1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28">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2A">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2B">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12E">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12F">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3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3 “Comunicazione e promozione online e offline” incide per la seguente quota di spesa:</w:t>
      </w:r>
    </w:p>
    <w:p w:rsidR="00000000" w:rsidDel="00000000" w:rsidP="00000000" w:rsidRDefault="00000000" w:rsidRPr="00000000" w14:paraId="00000131">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3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133">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134">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135">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6">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7">
      <w:pPr>
        <w:keepNext w:val="1"/>
        <w:numPr>
          <w:ilvl w:val="0"/>
          <w:numId w:val="7"/>
        </w:numPr>
        <w:ind w:left="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ATTIVITA’ 4 (obbligatoria)</w:t>
      </w:r>
    </w:p>
    <w:p w:rsidR="00000000" w:rsidDel="00000000" w:rsidP="00000000" w:rsidRDefault="00000000" w:rsidRPr="00000000" w14:paraId="0000013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9">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Sistema di monitoraggio interno della performance</w:t>
      </w:r>
    </w:p>
    <w:p w:rsidR="00000000" w:rsidDel="00000000" w:rsidP="00000000" w:rsidRDefault="00000000" w:rsidRPr="00000000" w14:paraId="0000013A">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Programmazione e attuazione di azioni di rilevazione del grado di soddisfazione “customer satisfaction” percepito dai partecipanti alla RIR, in termini di efficacia ed efficienza da parte del soggetto giuridico nell’esercizio di tutte le funzioni e iniziative, e per la rilevazione della performance della RIR in raccordo con il sistema di monitoraggio e valutazione regionale.</w:t>
      </w:r>
      <w:r w:rsidDel="00000000" w:rsidR="00000000" w:rsidRPr="00000000">
        <w:rPr>
          <w:rtl w:val="0"/>
        </w:rPr>
      </w:r>
    </w:p>
    <w:p w:rsidR="00000000" w:rsidDel="00000000" w:rsidP="00000000" w:rsidRDefault="00000000" w:rsidRPr="00000000" w14:paraId="0000013B">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3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3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3F">
      <w:pPr>
        <w:jc w:val="both"/>
        <w:rPr>
          <w:rFonts w:ascii="Times New Roman" w:cs="Times New Roman" w:eastAsia="Times New Roman" w:hAnsi="Times New Roman"/>
          <w:sz w:val="22"/>
          <w:szCs w:val="22"/>
        </w:rPr>
      </w:pPr>
      <w:r w:rsidDel="00000000" w:rsidR="00000000" w:rsidRPr="00000000">
        <w:rPr>
          <w:rtl w:val="0"/>
        </w:rPr>
      </w:r>
    </w:p>
    <w:tbl>
      <w:tblPr>
        <w:tblStyle w:val="Table18"/>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4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42">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4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4">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46">
      <w:pPr>
        <w:jc w:val="both"/>
        <w:rPr>
          <w:rFonts w:ascii="Times New Roman" w:cs="Times New Roman" w:eastAsia="Times New Roman" w:hAnsi="Times New Roman"/>
          <w:sz w:val="22"/>
          <w:szCs w:val="22"/>
        </w:rPr>
      </w:pPr>
      <w:r w:rsidDel="00000000" w:rsidR="00000000" w:rsidRPr="00000000">
        <w:rPr>
          <w:rtl w:val="0"/>
        </w:rPr>
      </w:r>
    </w:p>
    <w:tbl>
      <w:tblPr>
        <w:tblStyle w:val="Table19"/>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4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49">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4A">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4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14C">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14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4E">
      <w:pPr>
        <w:jc w:val="both"/>
        <w:rPr>
          <w:rFonts w:ascii="Times New Roman" w:cs="Times New Roman" w:eastAsia="Times New Roman" w:hAnsi="Times New Roman"/>
          <w:sz w:val="22"/>
          <w:szCs w:val="22"/>
        </w:rPr>
      </w:pPr>
      <w:r w:rsidDel="00000000" w:rsidR="00000000" w:rsidRPr="00000000">
        <w:rPr>
          <w:rtl w:val="0"/>
        </w:rPr>
      </w:r>
    </w:p>
    <w:tbl>
      <w:tblPr>
        <w:tblStyle w:val="Table20"/>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4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51">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52">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53">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15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156">
      <w:pPr>
        <w:jc w:val="both"/>
        <w:rPr>
          <w:rFonts w:ascii="Times New Roman" w:cs="Times New Roman" w:eastAsia="Times New Roman" w:hAnsi="Times New Roman"/>
          <w:sz w:val="22"/>
          <w:szCs w:val="22"/>
        </w:rPr>
      </w:pPr>
      <w:r w:rsidDel="00000000" w:rsidR="00000000" w:rsidRPr="00000000">
        <w:rPr>
          <w:rtl w:val="0"/>
        </w:rPr>
      </w:r>
    </w:p>
    <w:tbl>
      <w:tblPr>
        <w:tblStyle w:val="Table21"/>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57">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59">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5A">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B">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C">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15D">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15E">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5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4 “Sistema di monitoraggio interno della performance” incide per la seguente quota di spesa:</w:t>
      </w:r>
    </w:p>
    <w:p w:rsidR="00000000" w:rsidDel="00000000" w:rsidP="00000000" w:rsidRDefault="00000000" w:rsidRPr="00000000" w14:paraId="00000160">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16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163">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164">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5">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6">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7">
      <w:pPr>
        <w:keepNext w:val="1"/>
        <w:numPr>
          <w:ilvl w:val="0"/>
          <w:numId w:val="7"/>
        </w:numPr>
        <w:ind w:left="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ATTIVITA’ 5 (obbligatoria)</w:t>
      </w:r>
    </w:p>
    <w:p w:rsidR="00000000" w:rsidDel="00000000" w:rsidP="00000000" w:rsidRDefault="00000000" w:rsidRPr="00000000" w14:paraId="00000168">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9">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Servizi per il sostegno ai processi di valorizzazione della ricerca, di innovazione e di trasferimento tecnologico</w:t>
      </w:r>
    </w:p>
    <w:p w:rsidR="00000000" w:rsidDel="00000000" w:rsidP="00000000" w:rsidRDefault="00000000" w:rsidRPr="00000000" w14:paraId="0000016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Realizzazione di attività preliminari di mappatura dei fabbisogni e delle potenzialità di innovazione espresse dagli aderenti alla RIR e progettazione di servizi per l’innovazione alle imprese aderenti, funzionali a migliorarne la competitività e la capacità di innovazione, anche in un’ottica di mercato, e di proteggere e valorizzare i risultati della ricerca; progettazione di iniziative volte a favorire il matching finanziario con le opportunità offerte da fondi nazionali e internazionali.</w:t>
      </w:r>
    </w:p>
    <w:p w:rsidR="00000000" w:rsidDel="00000000" w:rsidP="00000000" w:rsidRDefault="00000000" w:rsidRPr="00000000" w14:paraId="0000016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6C">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6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6E">
      <w:pPr>
        <w:jc w:val="both"/>
        <w:rPr>
          <w:rFonts w:ascii="Times New Roman" w:cs="Times New Roman" w:eastAsia="Times New Roman" w:hAnsi="Times New Roman"/>
          <w:sz w:val="22"/>
          <w:szCs w:val="22"/>
        </w:rPr>
      </w:pPr>
      <w:r w:rsidDel="00000000" w:rsidR="00000000" w:rsidRPr="00000000">
        <w:rPr>
          <w:rtl w:val="0"/>
        </w:rPr>
      </w:r>
    </w:p>
    <w:tbl>
      <w:tblPr>
        <w:tblStyle w:val="Table22"/>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6F">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71">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72">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73">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75">
      <w:pPr>
        <w:jc w:val="both"/>
        <w:rPr>
          <w:rFonts w:ascii="Times New Roman" w:cs="Times New Roman" w:eastAsia="Times New Roman" w:hAnsi="Times New Roman"/>
          <w:sz w:val="22"/>
          <w:szCs w:val="22"/>
        </w:rPr>
      </w:pPr>
      <w:r w:rsidDel="00000000" w:rsidR="00000000" w:rsidRPr="00000000">
        <w:rPr>
          <w:rtl w:val="0"/>
        </w:rPr>
      </w:r>
    </w:p>
    <w:tbl>
      <w:tblPr>
        <w:tblStyle w:val="Table2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7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78">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79">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7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17B">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17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7D">
      <w:pPr>
        <w:jc w:val="both"/>
        <w:rPr>
          <w:rFonts w:ascii="Times New Roman" w:cs="Times New Roman" w:eastAsia="Times New Roman" w:hAnsi="Times New Roman"/>
          <w:sz w:val="22"/>
          <w:szCs w:val="22"/>
        </w:rPr>
      </w:pPr>
      <w:r w:rsidDel="00000000" w:rsidR="00000000" w:rsidRPr="00000000">
        <w:rPr>
          <w:rtl w:val="0"/>
        </w:rPr>
      </w:r>
    </w:p>
    <w:tbl>
      <w:tblPr>
        <w:tblStyle w:val="Table2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7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7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80">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81">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82">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3">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18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185">
      <w:pPr>
        <w:jc w:val="both"/>
        <w:rPr>
          <w:rFonts w:ascii="Times New Roman" w:cs="Times New Roman" w:eastAsia="Times New Roman" w:hAnsi="Times New Roman"/>
          <w:sz w:val="22"/>
          <w:szCs w:val="22"/>
        </w:rPr>
      </w:pPr>
      <w:r w:rsidDel="00000000" w:rsidR="00000000" w:rsidRPr="00000000">
        <w:rPr>
          <w:rtl w:val="0"/>
        </w:rPr>
      </w:r>
    </w:p>
    <w:tbl>
      <w:tblPr>
        <w:tblStyle w:val="Table2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86">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87">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88">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89">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8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18C">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18D">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8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5 “Servizi per il sostegno ai processi di valorizzazione della ricerca, di innovazione e di trasferimento tecnologico” incide per la seguente quota di spesa:</w:t>
      </w:r>
    </w:p>
    <w:p w:rsidR="00000000" w:rsidDel="00000000" w:rsidP="00000000" w:rsidRDefault="00000000" w:rsidRPr="00000000" w14:paraId="0000018F">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0">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19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192">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19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6">
      <w:pPr>
        <w:keepNext w:val="1"/>
        <w:numPr>
          <w:ilvl w:val="0"/>
          <w:numId w:val="7"/>
        </w:numPr>
        <w:ind w:left="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 ATTIVITA’ 6 (obbligatoria)</w:t>
      </w:r>
    </w:p>
    <w:p w:rsidR="00000000" w:rsidDel="00000000" w:rsidP="00000000" w:rsidRDefault="00000000" w:rsidRPr="00000000" w14:paraId="0000019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98">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Valorizzazione delle traiettorie tecnologiche della S3 Veneto e supporto strategico al policy maker regionale</w:t>
      </w:r>
    </w:p>
    <w:p w:rsidR="00000000" w:rsidDel="00000000" w:rsidP="00000000" w:rsidRDefault="00000000" w:rsidRPr="00000000" w14:paraId="0000019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di costante restituzione al policy maker regionale di reportistica riguardante la capacità della RIR di percorrere le traiettorie tecnologiche della S3, quale antenna utile a favorire una Strategia regionale dinamica e perciò capace di sintonizzarsi su priorità di ricerca e sviluppo emergenti.</w:t>
      </w:r>
    </w:p>
    <w:p w:rsidR="00000000" w:rsidDel="00000000" w:rsidP="00000000" w:rsidRDefault="00000000" w:rsidRPr="00000000" w14:paraId="0000019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9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9D">
      <w:pPr>
        <w:jc w:val="both"/>
        <w:rPr>
          <w:rFonts w:ascii="Times New Roman" w:cs="Times New Roman" w:eastAsia="Times New Roman" w:hAnsi="Times New Roman"/>
          <w:sz w:val="22"/>
          <w:szCs w:val="22"/>
        </w:rPr>
      </w:pPr>
      <w:r w:rsidDel="00000000" w:rsidR="00000000" w:rsidRPr="00000000">
        <w:rPr>
          <w:rtl w:val="0"/>
        </w:rPr>
      </w:r>
    </w:p>
    <w:tbl>
      <w:tblPr>
        <w:tblStyle w:val="Table2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9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A0">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1">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A2">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1A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A4">
      <w:pPr>
        <w:jc w:val="both"/>
        <w:rPr>
          <w:rFonts w:ascii="Times New Roman" w:cs="Times New Roman" w:eastAsia="Times New Roman" w:hAnsi="Times New Roman"/>
          <w:sz w:val="22"/>
          <w:szCs w:val="22"/>
        </w:rPr>
      </w:pPr>
      <w:r w:rsidDel="00000000" w:rsidR="00000000" w:rsidRPr="00000000">
        <w:rPr>
          <w:rtl w:val="0"/>
        </w:rPr>
      </w:r>
    </w:p>
    <w:tbl>
      <w:tblPr>
        <w:tblStyle w:val="Table2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A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A7">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A8">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A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1AA">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1A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AC">
      <w:pPr>
        <w:jc w:val="both"/>
        <w:rPr>
          <w:rFonts w:ascii="Times New Roman" w:cs="Times New Roman" w:eastAsia="Times New Roman" w:hAnsi="Times New Roman"/>
          <w:sz w:val="22"/>
          <w:szCs w:val="22"/>
        </w:rPr>
      </w:pPr>
      <w:r w:rsidDel="00000000" w:rsidR="00000000" w:rsidRPr="00000000">
        <w:rPr>
          <w:rtl w:val="0"/>
        </w:rPr>
      </w:r>
    </w:p>
    <w:tbl>
      <w:tblPr>
        <w:tblStyle w:val="Table28"/>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A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AF">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B0">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B1">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1B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1B4">
      <w:pPr>
        <w:jc w:val="both"/>
        <w:rPr>
          <w:rFonts w:ascii="Times New Roman" w:cs="Times New Roman" w:eastAsia="Times New Roman" w:hAnsi="Times New Roman"/>
          <w:sz w:val="22"/>
          <w:szCs w:val="22"/>
        </w:rPr>
      </w:pPr>
      <w:r w:rsidDel="00000000" w:rsidR="00000000" w:rsidRPr="00000000">
        <w:rPr>
          <w:rtl w:val="0"/>
        </w:rPr>
      </w:r>
    </w:p>
    <w:tbl>
      <w:tblPr>
        <w:tblStyle w:val="Table29"/>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B5">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B7">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B8">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B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1BB">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1BC">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B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6 “Valorizzazione delle traiettorie tecnologiche della S3 Veneto e supporto strategico al policy maker regionale” incide per la seguente quota di spesa:</w:t>
      </w:r>
    </w:p>
    <w:p w:rsidR="00000000" w:rsidDel="00000000" w:rsidP="00000000" w:rsidRDefault="00000000" w:rsidRPr="00000000" w14:paraId="000001BE">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BF">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1C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1C1">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ATTIVITA’ 7</w:t>
      </w: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C7">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Sviluppo di sistemi di gestione della conoscenza</w:t>
      </w:r>
    </w:p>
    <w:p w:rsidR="00000000" w:rsidDel="00000000" w:rsidP="00000000" w:rsidRDefault="00000000" w:rsidRPr="00000000" w14:paraId="000001C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Investimenti in processi di gestione della conoscenza tra i partner della RIR, compresa la progettazione e l’implementazione di sistemi informativi per il Knowledge Management destinati a promuovere la diffusione e la valorizzazione dei risultati della ricerca, e la loro trasposizione in chiave di trasferimento tecnologico e cross fertilization transettoriale/multisettoriale in ambito RIR, e studi di fattibilità per l’interconnessione multi-RIR.</w:t>
      </w:r>
    </w:p>
    <w:p w:rsidR="00000000" w:rsidDel="00000000" w:rsidP="00000000" w:rsidRDefault="00000000" w:rsidRPr="00000000" w14:paraId="000001C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C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CC">
      <w:pPr>
        <w:jc w:val="both"/>
        <w:rPr>
          <w:rFonts w:ascii="Times New Roman" w:cs="Times New Roman" w:eastAsia="Times New Roman" w:hAnsi="Times New Roman"/>
          <w:sz w:val="22"/>
          <w:szCs w:val="22"/>
        </w:rPr>
      </w:pPr>
      <w:r w:rsidDel="00000000" w:rsidR="00000000" w:rsidRPr="00000000">
        <w:rPr>
          <w:rtl w:val="0"/>
        </w:rPr>
      </w:r>
    </w:p>
    <w:tbl>
      <w:tblPr>
        <w:tblStyle w:val="Table30"/>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CD">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CF">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D0">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D1">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1D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1D3">
      <w:pPr>
        <w:jc w:val="both"/>
        <w:rPr>
          <w:rFonts w:ascii="Times New Roman" w:cs="Times New Roman" w:eastAsia="Times New Roman" w:hAnsi="Times New Roman"/>
          <w:sz w:val="22"/>
          <w:szCs w:val="22"/>
        </w:rPr>
      </w:pPr>
      <w:r w:rsidDel="00000000" w:rsidR="00000000" w:rsidRPr="00000000">
        <w:rPr>
          <w:rtl w:val="0"/>
        </w:rPr>
      </w:r>
    </w:p>
    <w:tbl>
      <w:tblPr>
        <w:tblStyle w:val="Table31"/>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D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D6">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D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D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1D9">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1D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DB">
      <w:pPr>
        <w:jc w:val="both"/>
        <w:rPr>
          <w:rFonts w:ascii="Times New Roman" w:cs="Times New Roman" w:eastAsia="Times New Roman" w:hAnsi="Times New Roman"/>
          <w:sz w:val="22"/>
          <w:szCs w:val="22"/>
        </w:rPr>
      </w:pPr>
      <w:r w:rsidDel="00000000" w:rsidR="00000000" w:rsidRPr="00000000">
        <w:rPr>
          <w:rtl w:val="0"/>
        </w:rPr>
      </w:r>
    </w:p>
    <w:tbl>
      <w:tblPr>
        <w:tblStyle w:val="Table32"/>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D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DE">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DF">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E0">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1E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1E3">
      <w:pPr>
        <w:jc w:val="both"/>
        <w:rPr>
          <w:rFonts w:ascii="Times New Roman" w:cs="Times New Roman" w:eastAsia="Times New Roman" w:hAnsi="Times New Roman"/>
          <w:sz w:val="22"/>
          <w:szCs w:val="22"/>
        </w:rPr>
      </w:pPr>
      <w:r w:rsidDel="00000000" w:rsidR="00000000" w:rsidRPr="00000000">
        <w:rPr>
          <w:rtl w:val="0"/>
        </w:rPr>
      </w:r>
    </w:p>
    <w:tbl>
      <w:tblPr>
        <w:tblStyle w:val="Table3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1E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E6">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1E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1EA">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1EB">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EC">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7 “Sviluppo di sistemi di gestione della conoscenza” incide per la seguente quota di spesa:</w:t>
      </w:r>
    </w:p>
    <w:p w:rsidR="00000000" w:rsidDel="00000000" w:rsidP="00000000" w:rsidRDefault="00000000" w:rsidRPr="00000000" w14:paraId="000001ED">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E">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1E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1F0">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p>
    <w:p w:rsidR="00000000" w:rsidDel="00000000" w:rsidP="00000000" w:rsidRDefault="00000000" w:rsidRPr="00000000" w14:paraId="000001F1">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3">
      <w:pPr>
        <w:numPr>
          <w:ilvl w:val="0"/>
          <w:numId w:val="8"/>
        </w:numPr>
        <w:ind w:left="284"/>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ATTIVITA’ 8</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Qualificazione del capitale umano</w:t>
      </w:r>
    </w:p>
    <w:p w:rsidR="00000000" w:rsidDel="00000000" w:rsidP="00000000" w:rsidRDefault="00000000" w:rsidRPr="00000000" w14:paraId="000001F6">
      <w:pPr>
        <w:widowControl w:val="0"/>
        <w:tabs>
          <w:tab w:val="left" w:leader="none" w:pos="603"/>
        </w:tabs>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Attività di pianificazione e progettazione esecutiva di percorsi formativi specifici,</w:t>
      </w:r>
      <w:r w:rsidDel="00000000" w:rsidR="00000000" w:rsidRPr="00000000">
        <w:rPr>
          <w:rtl w:val="0"/>
        </w:rPr>
        <w:t xml:space="preserve"> </w:t>
      </w:r>
      <w:r w:rsidDel="00000000" w:rsidR="00000000" w:rsidRPr="00000000">
        <w:rPr>
          <w:rFonts w:ascii="Times New Roman" w:cs="Times New Roman" w:eastAsia="Times New Roman" w:hAnsi="Times New Roman"/>
          <w:sz w:val="22"/>
          <w:szCs w:val="22"/>
          <w:rtl w:val="0"/>
        </w:rPr>
        <w:t xml:space="preserve">a partire dalla mappatura dei fabbisogni formativi, delle competenze necessarie, e delle priorità di formazione nelle imprese retiste, per creare e favorire sinergie efficaci tra la domanda di competenze, a più livelli (dall’operaio qualificato al management d’impresa), all’offerta disponibile esprimibile dagli attori del sistema educativo (Università, ITS, scuole di formazione).</w:t>
      </w: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1F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1FA">
      <w:pPr>
        <w:jc w:val="both"/>
        <w:rPr>
          <w:rFonts w:ascii="Times New Roman" w:cs="Times New Roman" w:eastAsia="Times New Roman" w:hAnsi="Times New Roman"/>
          <w:sz w:val="22"/>
          <w:szCs w:val="22"/>
        </w:rPr>
      </w:pPr>
      <w:r w:rsidDel="00000000" w:rsidR="00000000" w:rsidRPr="00000000">
        <w:rPr>
          <w:rtl w:val="0"/>
        </w:rPr>
      </w:r>
    </w:p>
    <w:tbl>
      <w:tblPr>
        <w:tblStyle w:val="Table3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1FB">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FD">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FE">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FF">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20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201">
      <w:pPr>
        <w:jc w:val="both"/>
        <w:rPr>
          <w:rFonts w:ascii="Times New Roman" w:cs="Times New Roman" w:eastAsia="Times New Roman" w:hAnsi="Times New Roman"/>
          <w:sz w:val="22"/>
          <w:szCs w:val="22"/>
        </w:rPr>
      </w:pPr>
      <w:r w:rsidDel="00000000" w:rsidR="00000000" w:rsidRPr="00000000">
        <w:rPr>
          <w:rtl w:val="0"/>
        </w:rPr>
      </w:r>
    </w:p>
    <w:tbl>
      <w:tblPr>
        <w:tblStyle w:val="Table3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0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04">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05">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0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207">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20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09">
      <w:pPr>
        <w:jc w:val="both"/>
        <w:rPr>
          <w:rFonts w:ascii="Times New Roman" w:cs="Times New Roman" w:eastAsia="Times New Roman" w:hAnsi="Times New Roman"/>
          <w:sz w:val="22"/>
          <w:szCs w:val="22"/>
        </w:rPr>
      </w:pPr>
      <w:r w:rsidDel="00000000" w:rsidR="00000000" w:rsidRPr="00000000">
        <w:rPr>
          <w:rtl w:val="0"/>
        </w:rPr>
      </w:r>
    </w:p>
    <w:tbl>
      <w:tblPr>
        <w:tblStyle w:val="Table3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0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0C">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0D">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0E">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0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21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11">
      <w:pPr>
        <w:jc w:val="both"/>
        <w:rPr>
          <w:rFonts w:ascii="Times New Roman" w:cs="Times New Roman" w:eastAsia="Times New Roman" w:hAnsi="Times New Roman"/>
          <w:sz w:val="22"/>
          <w:szCs w:val="22"/>
        </w:rPr>
      </w:pPr>
      <w:r w:rsidDel="00000000" w:rsidR="00000000" w:rsidRPr="00000000">
        <w:rPr>
          <w:rtl w:val="0"/>
        </w:rPr>
      </w:r>
    </w:p>
    <w:tbl>
      <w:tblPr>
        <w:tblStyle w:val="Table3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12">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14">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1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1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218">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219">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1A">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8 “Qualificazione del capitale umano” incide per la seguente quota di spesa:</w:t>
      </w:r>
    </w:p>
    <w:p w:rsidR="00000000" w:rsidDel="00000000" w:rsidP="00000000" w:rsidRDefault="00000000" w:rsidRPr="00000000" w14:paraId="0000021B">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1C">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21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21E">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p>
    <w:p w:rsidR="00000000" w:rsidDel="00000000" w:rsidP="00000000" w:rsidRDefault="00000000" w:rsidRPr="00000000" w14:paraId="0000021F">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2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ATTIVITA’ 9</w:t>
      </w: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23">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Collaborazioni e sinergie con altri sistemi regionali o extra regionali</w:t>
      </w:r>
    </w:p>
    <w:p w:rsidR="00000000" w:rsidDel="00000000" w:rsidP="00000000" w:rsidRDefault="00000000" w:rsidRPr="00000000" w14:paraId="0000022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riferite alle partecipazioni ai Cluster Tecnologici Nazionali (CTN), cluster e piattaforme europee, e le attività dedicate allo sviluppo di collaborazioni con altre RIR, con i Distretti Industriali veneti, con reti/distretti/cluster riconosciuti da altre Regioni italiane o europee.</w:t>
      </w:r>
    </w:p>
    <w:p w:rsidR="00000000" w:rsidDel="00000000" w:rsidP="00000000" w:rsidRDefault="00000000" w:rsidRPr="00000000" w14:paraId="000002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227">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28">
      <w:pPr>
        <w:jc w:val="both"/>
        <w:rPr>
          <w:rFonts w:ascii="Times New Roman" w:cs="Times New Roman" w:eastAsia="Times New Roman" w:hAnsi="Times New Roman"/>
          <w:sz w:val="22"/>
          <w:szCs w:val="22"/>
        </w:rPr>
      </w:pPr>
      <w:r w:rsidDel="00000000" w:rsidR="00000000" w:rsidRPr="00000000">
        <w:rPr>
          <w:rtl w:val="0"/>
        </w:rPr>
      </w:r>
    </w:p>
    <w:tbl>
      <w:tblPr>
        <w:tblStyle w:val="Table38"/>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22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2B">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2C">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2D">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22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22F">
      <w:pPr>
        <w:jc w:val="both"/>
        <w:rPr>
          <w:rFonts w:ascii="Times New Roman" w:cs="Times New Roman" w:eastAsia="Times New Roman" w:hAnsi="Times New Roman"/>
          <w:sz w:val="22"/>
          <w:szCs w:val="22"/>
        </w:rPr>
      </w:pPr>
      <w:r w:rsidDel="00000000" w:rsidR="00000000" w:rsidRPr="00000000">
        <w:rPr>
          <w:rtl w:val="0"/>
        </w:rPr>
      </w:r>
    </w:p>
    <w:tbl>
      <w:tblPr>
        <w:tblStyle w:val="Table39"/>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3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32">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33">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235">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23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37">
      <w:pPr>
        <w:jc w:val="both"/>
        <w:rPr>
          <w:rFonts w:ascii="Times New Roman" w:cs="Times New Roman" w:eastAsia="Times New Roman" w:hAnsi="Times New Roman"/>
          <w:sz w:val="22"/>
          <w:szCs w:val="22"/>
        </w:rPr>
      </w:pPr>
      <w:r w:rsidDel="00000000" w:rsidR="00000000" w:rsidRPr="00000000">
        <w:rPr>
          <w:rtl w:val="0"/>
        </w:rPr>
      </w:r>
    </w:p>
    <w:tbl>
      <w:tblPr>
        <w:tblStyle w:val="Table40"/>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38">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3A">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3B">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3C">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3D">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23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3F">
      <w:pPr>
        <w:jc w:val="both"/>
        <w:rPr>
          <w:rFonts w:ascii="Times New Roman" w:cs="Times New Roman" w:eastAsia="Times New Roman" w:hAnsi="Times New Roman"/>
          <w:sz w:val="22"/>
          <w:szCs w:val="22"/>
        </w:rPr>
      </w:pPr>
      <w:r w:rsidDel="00000000" w:rsidR="00000000" w:rsidRPr="00000000">
        <w:rPr>
          <w:rtl w:val="0"/>
        </w:rPr>
      </w:r>
    </w:p>
    <w:tbl>
      <w:tblPr>
        <w:tblStyle w:val="Table41"/>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40">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41">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42">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4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246">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247">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48">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9 “Collaborazioni e sinergie con altri sistemi regionali o extra regionali” incide per la seguente quota di spesa:</w:t>
      </w:r>
    </w:p>
    <w:p w:rsidR="00000000" w:rsidDel="00000000" w:rsidP="00000000" w:rsidRDefault="00000000" w:rsidRPr="00000000" w14:paraId="00000249">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4A">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24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24C">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24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4F">
      <w:pPr>
        <w:numPr>
          <w:ilvl w:val="0"/>
          <w:numId w:val="8"/>
        </w:numPr>
        <w:ind w:left="284"/>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ATTIVITA’ 10</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Internazionalizzazione</w:t>
      </w:r>
    </w:p>
    <w:p w:rsidR="00000000" w:rsidDel="00000000" w:rsidP="00000000" w:rsidRDefault="00000000" w:rsidRPr="00000000" w14:paraId="0000025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volte a favorire la presenza e il raccordo con soggetti esteri per lo scouting di nuove opportunità di business e per l’attivazione di partnership o sinergie internazionali e attività di partecipazione a progetti internazionali.</w:t>
      </w:r>
    </w:p>
    <w:p w:rsidR="00000000" w:rsidDel="00000000" w:rsidP="00000000" w:rsidRDefault="00000000" w:rsidRPr="00000000" w14:paraId="0000025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5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25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56">
      <w:pPr>
        <w:jc w:val="both"/>
        <w:rPr>
          <w:rFonts w:ascii="Times New Roman" w:cs="Times New Roman" w:eastAsia="Times New Roman" w:hAnsi="Times New Roman"/>
          <w:sz w:val="22"/>
          <w:szCs w:val="22"/>
        </w:rPr>
      </w:pPr>
      <w:r w:rsidDel="00000000" w:rsidR="00000000" w:rsidRPr="00000000">
        <w:rPr>
          <w:rtl w:val="0"/>
        </w:rPr>
      </w:r>
    </w:p>
    <w:tbl>
      <w:tblPr>
        <w:tblStyle w:val="Table42"/>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25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59">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5A">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5B">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25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25D">
      <w:pPr>
        <w:jc w:val="both"/>
        <w:rPr>
          <w:rFonts w:ascii="Times New Roman" w:cs="Times New Roman" w:eastAsia="Times New Roman" w:hAnsi="Times New Roman"/>
          <w:sz w:val="22"/>
          <w:szCs w:val="22"/>
        </w:rPr>
      </w:pPr>
      <w:r w:rsidDel="00000000" w:rsidR="00000000" w:rsidRPr="00000000">
        <w:rPr>
          <w:rtl w:val="0"/>
        </w:rPr>
      </w:r>
    </w:p>
    <w:tbl>
      <w:tblPr>
        <w:tblStyle w:val="Table4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5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60">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61">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6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263">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26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65">
      <w:pPr>
        <w:jc w:val="both"/>
        <w:rPr>
          <w:rFonts w:ascii="Times New Roman" w:cs="Times New Roman" w:eastAsia="Times New Roman" w:hAnsi="Times New Roman"/>
          <w:sz w:val="22"/>
          <w:szCs w:val="22"/>
        </w:rPr>
      </w:pPr>
      <w:r w:rsidDel="00000000" w:rsidR="00000000" w:rsidRPr="00000000">
        <w:rPr>
          <w:rtl w:val="0"/>
        </w:rPr>
      </w:r>
    </w:p>
    <w:tbl>
      <w:tblPr>
        <w:tblStyle w:val="Table4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6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68">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69">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6A">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6B">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26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6D">
      <w:pPr>
        <w:jc w:val="both"/>
        <w:rPr>
          <w:rFonts w:ascii="Times New Roman" w:cs="Times New Roman" w:eastAsia="Times New Roman" w:hAnsi="Times New Roman"/>
          <w:sz w:val="22"/>
          <w:szCs w:val="22"/>
        </w:rPr>
      </w:pPr>
      <w:r w:rsidDel="00000000" w:rsidR="00000000" w:rsidRPr="00000000">
        <w:rPr>
          <w:rtl w:val="0"/>
        </w:rPr>
      </w:r>
    </w:p>
    <w:tbl>
      <w:tblPr>
        <w:tblStyle w:val="Table4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6E">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6F">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70">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7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3">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274">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275">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76">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10 “Internazionalizzazione” incide per la seguente quota di spesa:</w:t>
      </w:r>
    </w:p>
    <w:p w:rsidR="00000000" w:rsidDel="00000000" w:rsidP="00000000" w:rsidRDefault="00000000" w:rsidRPr="00000000" w14:paraId="00000277">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78">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27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27A">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p>
    <w:p w:rsidR="00000000" w:rsidDel="00000000" w:rsidP="00000000" w:rsidRDefault="00000000" w:rsidRPr="00000000" w14:paraId="0000027B">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D">
      <w:pPr>
        <w:numPr>
          <w:ilvl w:val="0"/>
          <w:numId w:val="8"/>
        </w:numPr>
        <w:ind w:left="284"/>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ATTIVITA’ 11</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7F">
      <w:pPr>
        <w:widowControl w:val="0"/>
        <w:tabs>
          <w:tab w:val="left" w:leader="none" w:pos="603"/>
        </w:tabs>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Partnership comunitarie e ranking in UE</w:t>
      </w:r>
    </w:p>
    <w:p w:rsidR="00000000" w:rsidDel="00000000" w:rsidP="00000000" w:rsidRDefault="00000000" w:rsidRPr="00000000" w14:paraId="0000028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Attività di partecipazione alle iniziative di “cluster policy” dell’Unione Europea e alle specifiche “EU cluster actions”, consentendo alla RIR di ottenere visibilità e posizionamento riconosciuto tra i cluster regionali europei.</w:t>
      </w:r>
    </w:p>
    <w:p w:rsidR="00000000" w:rsidDel="00000000" w:rsidP="00000000" w:rsidRDefault="00000000" w:rsidRPr="00000000" w14:paraId="0000028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8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28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84">
      <w:pPr>
        <w:jc w:val="both"/>
        <w:rPr>
          <w:rFonts w:ascii="Times New Roman" w:cs="Times New Roman" w:eastAsia="Times New Roman" w:hAnsi="Times New Roman"/>
          <w:sz w:val="22"/>
          <w:szCs w:val="22"/>
        </w:rPr>
      </w:pPr>
      <w:r w:rsidDel="00000000" w:rsidR="00000000" w:rsidRPr="00000000">
        <w:rPr>
          <w:rtl w:val="0"/>
        </w:rPr>
      </w:r>
    </w:p>
    <w:tbl>
      <w:tblPr>
        <w:tblStyle w:val="Table46"/>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28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8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87">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88">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89">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28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28B">
      <w:pPr>
        <w:jc w:val="both"/>
        <w:rPr>
          <w:rFonts w:ascii="Times New Roman" w:cs="Times New Roman" w:eastAsia="Times New Roman" w:hAnsi="Times New Roman"/>
          <w:sz w:val="22"/>
          <w:szCs w:val="22"/>
        </w:rPr>
      </w:pPr>
      <w:r w:rsidDel="00000000" w:rsidR="00000000" w:rsidRPr="00000000">
        <w:rPr>
          <w:rtl w:val="0"/>
        </w:rPr>
      </w:r>
    </w:p>
    <w:tbl>
      <w:tblPr>
        <w:tblStyle w:val="Table47"/>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8C">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8E">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8F">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9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291">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29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93">
      <w:pPr>
        <w:jc w:val="both"/>
        <w:rPr>
          <w:rFonts w:ascii="Times New Roman" w:cs="Times New Roman" w:eastAsia="Times New Roman" w:hAnsi="Times New Roman"/>
          <w:sz w:val="22"/>
          <w:szCs w:val="22"/>
        </w:rPr>
      </w:pPr>
      <w:r w:rsidDel="00000000" w:rsidR="00000000" w:rsidRPr="00000000">
        <w:rPr>
          <w:rtl w:val="0"/>
        </w:rPr>
      </w:r>
    </w:p>
    <w:tbl>
      <w:tblPr>
        <w:tblStyle w:val="Table48"/>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94">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96">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97">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98">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99">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29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9B">
      <w:pPr>
        <w:jc w:val="both"/>
        <w:rPr>
          <w:rFonts w:ascii="Times New Roman" w:cs="Times New Roman" w:eastAsia="Times New Roman" w:hAnsi="Times New Roman"/>
          <w:sz w:val="22"/>
          <w:szCs w:val="22"/>
        </w:rPr>
      </w:pPr>
      <w:r w:rsidDel="00000000" w:rsidR="00000000" w:rsidRPr="00000000">
        <w:rPr>
          <w:rtl w:val="0"/>
        </w:rPr>
      </w:r>
    </w:p>
    <w:tbl>
      <w:tblPr>
        <w:tblStyle w:val="Table49"/>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9C">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9D">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9E">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9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A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A1">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2A2">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2A3">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A4">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11 “Partnership comunitarie e ranking in UE” incide per la seguente quota di spesa:</w:t>
      </w:r>
    </w:p>
    <w:p w:rsidR="00000000" w:rsidDel="00000000" w:rsidP="00000000" w:rsidRDefault="00000000" w:rsidRPr="00000000" w14:paraId="000002A5">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A6">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2A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2A8">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r w:rsidDel="00000000" w:rsidR="00000000" w:rsidRPr="00000000">
        <w:rPr>
          <w:rtl w:val="0"/>
        </w:rPr>
      </w:r>
    </w:p>
    <w:p w:rsidR="00000000" w:rsidDel="00000000" w:rsidP="00000000" w:rsidRDefault="00000000" w:rsidRPr="00000000" w14:paraId="000002A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A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AB">
      <w:pPr>
        <w:numPr>
          <w:ilvl w:val="0"/>
          <w:numId w:val="8"/>
        </w:numPr>
        <w:ind w:left="284"/>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ATTIVITA’ 12</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A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Attrazione degli investimenti</w:t>
      </w:r>
    </w:p>
    <w:p w:rsidR="00000000" w:rsidDel="00000000" w:rsidP="00000000" w:rsidRDefault="00000000" w:rsidRPr="00000000" w14:paraId="000002AE">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Elaborazione e attuazione di piani in grado di attrarre soggetti investitori e nuove competenze anche dall’estero. Rientrano in questa azione anche iniziative utili a supportare la nascita e la crescita di start up innovative in grado di collocarsi in specifiche traiettorie tecnologiche della S3 Veneto riferite all’ambito tematico di prevalente operatività della RIR.</w:t>
      </w:r>
    </w:p>
    <w:p w:rsidR="00000000" w:rsidDel="00000000" w:rsidP="00000000" w:rsidRDefault="00000000" w:rsidRPr="00000000" w14:paraId="000002A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B0">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degli obiettivi previsti</w:t>
      </w:r>
    </w:p>
    <w:p w:rsidR="00000000" w:rsidDel="00000000" w:rsidP="00000000" w:rsidRDefault="00000000" w:rsidRPr="00000000" w14:paraId="000002B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B2">
      <w:pPr>
        <w:jc w:val="both"/>
        <w:rPr>
          <w:rFonts w:ascii="Times New Roman" w:cs="Times New Roman" w:eastAsia="Times New Roman" w:hAnsi="Times New Roman"/>
          <w:sz w:val="22"/>
          <w:szCs w:val="22"/>
        </w:rPr>
      </w:pPr>
      <w:r w:rsidDel="00000000" w:rsidR="00000000" w:rsidRPr="00000000">
        <w:rPr>
          <w:rtl w:val="0"/>
        </w:rPr>
      </w:r>
    </w:p>
    <w:tbl>
      <w:tblPr>
        <w:tblStyle w:val="Table50"/>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685" w:hRule="atLeast"/>
          <w:tblHeader w:val="0"/>
        </w:trPr>
        <w:tc>
          <w:tcPr>
            <w:shd w:fill="auto" w:val="clear"/>
          </w:tcPr>
          <w:p w:rsidR="00000000" w:rsidDel="00000000" w:rsidP="00000000" w:rsidRDefault="00000000" w:rsidRPr="00000000" w14:paraId="000002B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B5">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B6">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B7">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Descrizione delle attività esecutive previste per il raggiungimento degli obiettivi previsti</w:t>
      </w:r>
      <w:r w:rsidDel="00000000" w:rsidR="00000000" w:rsidRPr="00000000">
        <w:rPr>
          <w:rtl w:val="0"/>
        </w:rPr>
      </w:r>
    </w:p>
    <w:p w:rsidR="00000000" w:rsidDel="00000000" w:rsidP="00000000" w:rsidRDefault="00000000" w:rsidRPr="00000000" w14:paraId="000002B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5.000 caratteri)</w:t>
      </w:r>
    </w:p>
    <w:p w:rsidR="00000000" w:rsidDel="00000000" w:rsidP="00000000" w:rsidRDefault="00000000" w:rsidRPr="00000000" w14:paraId="000002B9">
      <w:pPr>
        <w:jc w:val="both"/>
        <w:rPr>
          <w:rFonts w:ascii="Times New Roman" w:cs="Times New Roman" w:eastAsia="Times New Roman" w:hAnsi="Times New Roman"/>
          <w:sz w:val="22"/>
          <w:szCs w:val="22"/>
        </w:rPr>
      </w:pPr>
      <w:r w:rsidDel="00000000" w:rsidR="00000000" w:rsidRPr="00000000">
        <w:rPr>
          <w:rtl w:val="0"/>
        </w:rPr>
      </w:r>
    </w:p>
    <w:tbl>
      <w:tblPr>
        <w:tblStyle w:val="Table51"/>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B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B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BC">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BD">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B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intermedi e dei relativi deliverables/output che ne attestano il raggiungimento</w:t>
      </w:r>
    </w:p>
    <w:p w:rsidR="00000000" w:rsidDel="00000000" w:rsidP="00000000" w:rsidRDefault="00000000" w:rsidRPr="00000000" w14:paraId="000002BF">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Compilare nel caso in cui il soggetto giuridico intenda presentare domanda di pagamento di un acconto su rendiconto intermedio di spesa.</w:t>
      </w:r>
    </w:p>
    <w:p w:rsidR="00000000" w:rsidDel="00000000" w:rsidP="00000000" w:rsidRDefault="00000000" w:rsidRPr="00000000" w14:paraId="000002C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2.000 caratteri)</w:t>
      </w:r>
    </w:p>
    <w:p w:rsidR="00000000" w:rsidDel="00000000" w:rsidP="00000000" w:rsidRDefault="00000000" w:rsidRPr="00000000" w14:paraId="000002C1">
      <w:pPr>
        <w:jc w:val="both"/>
        <w:rPr>
          <w:rFonts w:ascii="Times New Roman" w:cs="Times New Roman" w:eastAsia="Times New Roman" w:hAnsi="Times New Roman"/>
          <w:sz w:val="22"/>
          <w:szCs w:val="22"/>
        </w:rPr>
      </w:pPr>
      <w:r w:rsidDel="00000000" w:rsidR="00000000" w:rsidRPr="00000000">
        <w:rPr>
          <w:rtl w:val="0"/>
        </w:rPr>
      </w:r>
    </w:p>
    <w:tbl>
      <w:tblPr>
        <w:tblStyle w:val="Table52"/>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C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C4">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C5">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C6">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7">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dei risultati finali e dei relativi deliverables/output che ne attestano il raggiungimento</w:t>
      </w:r>
    </w:p>
    <w:p w:rsidR="00000000" w:rsidDel="00000000" w:rsidP="00000000" w:rsidRDefault="00000000" w:rsidRPr="00000000" w14:paraId="000002C8">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C9">
      <w:pPr>
        <w:jc w:val="both"/>
        <w:rPr>
          <w:rFonts w:ascii="Times New Roman" w:cs="Times New Roman" w:eastAsia="Times New Roman" w:hAnsi="Times New Roman"/>
          <w:sz w:val="22"/>
          <w:szCs w:val="22"/>
        </w:rPr>
      </w:pPr>
      <w:r w:rsidDel="00000000" w:rsidR="00000000" w:rsidRPr="00000000">
        <w:rPr>
          <w:rtl w:val="0"/>
        </w:rPr>
      </w:r>
    </w:p>
    <w:tbl>
      <w:tblPr>
        <w:tblStyle w:val="Table53"/>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2850" w:hRule="atLeast"/>
          <w:tblHeader w:val="0"/>
        </w:trPr>
        <w:tc>
          <w:tcPr>
            <w:shd w:fill="auto" w:val="clear"/>
          </w:tcPr>
          <w:p w:rsidR="00000000" w:rsidDel="00000000" w:rsidP="00000000" w:rsidRDefault="00000000" w:rsidRPr="00000000" w14:paraId="000002CA">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2CC">
            <w:pPr>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2CD">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C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CF">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Identificazione della quota di budget associato all’attività</w:t>
      </w:r>
    </w:p>
    <w:p w:rsidR="00000000" w:rsidDel="00000000" w:rsidP="00000000" w:rsidRDefault="00000000" w:rsidRPr="00000000" w14:paraId="000002D0">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Rispetto all’ammontare di spesa totale di progetto, oggetto di quantificazione e compilazione in SIU, indicare in termini percentuali la quota di spesa associata a questa attività.</w:t>
      </w:r>
    </w:p>
    <w:p w:rsidR="00000000" w:rsidDel="00000000" w:rsidP="00000000" w:rsidRDefault="00000000" w:rsidRPr="00000000" w14:paraId="000002D1">
      <w:pPr>
        <w:keepNext w:val="1"/>
        <w:jc w:val="both"/>
        <w:rPr>
          <w:rFonts w:ascii="Times New Roman" w:cs="Times New Roman" w:eastAsia="Times New Roman" w:hAnsi="Times New Roman"/>
          <w:i w:val="1"/>
          <w:sz w:val="22"/>
          <w:szCs w:val="22"/>
        </w:rPr>
      </w:pPr>
      <w:r w:rsidDel="00000000" w:rsidR="00000000" w:rsidRPr="00000000">
        <w:rPr>
          <w:rtl w:val="0"/>
        </w:rPr>
      </w:r>
    </w:p>
    <w:p w:rsidR="00000000" w:rsidDel="00000000" w:rsidP="00000000" w:rsidRDefault="00000000" w:rsidRPr="00000000" w14:paraId="000002D2">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Rispetto al totale (100%) delle spese previste, l’Attività 12 “Attrazione degli investimenti” incide per la seguente quota di spesa:</w:t>
      </w:r>
    </w:p>
    <w:p w:rsidR="00000000" w:rsidDel="00000000" w:rsidP="00000000" w:rsidRDefault="00000000" w:rsidRPr="00000000" w14:paraId="000002D3">
      <w:pPr>
        <w:keepNext w:val="1"/>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4">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________ %</w:t>
      </w:r>
    </w:p>
    <w:p w:rsidR="00000000" w:rsidDel="00000000" w:rsidP="00000000" w:rsidRDefault="00000000" w:rsidRPr="00000000" w14:paraId="000002D5">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tl w:val="0"/>
        </w:rPr>
      </w:r>
    </w:p>
    <w:p w:rsidR="00000000" w:rsidDel="00000000" w:rsidP="00000000" w:rsidRDefault="00000000" w:rsidRPr="00000000" w14:paraId="000002D6">
      <w:pPr>
        <w:keepNext w:val="1"/>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Avvertenza: la somma delle quote percentuali di tutte le attività selezionate che compongono il progetto deve corrispondere al 100%.</w:t>
      </w:r>
    </w:p>
    <w:p w:rsidR="00000000" w:rsidDel="00000000" w:rsidP="00000000" w:rsidRDefault="00000000" w:rsidRPr="00000000" w14:paraId="000002D7">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D8">
      <w:pPr>
        <w:keepNext w:val="1"/>
        <w:jc w:val="both"/>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2D9">
      <w:pPr>
        <w:keepNext w:val="1"/>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PARTE C – ELEMENTI DI VALUTAZIONE DEL PROGETTO </w:t>
      </w:r>
    </w:p>
    <w:p w:rsidR="00000000" w:rsidDel="00000000" w:rsidP="00000000" w:rsidRDefault="00000000" w:rsidRPr="00000000" w14:paraId="000002DA">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DB">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Esperienza specifica pregressa nella realizzazione di attività di ricerca in forma aggregata</w:t>
      </w:r>
    </w:p>
    <w:p w:rsidR="00000000" w:rsidDel="00000000" w:rsidP="00000000" w:rsidRDefault="00000000" w:rsidRPr="00000000" w14:paraId="000002DC">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D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ai bandi approvati nell’ambito dell’Azione 1.1.4 “Sostegno alle attività di collaborative di R&amp;S per lo sviluppo di nuove tecnologie sostenibili, di nuovi prodotti e servizi” del POR FESR Veneto 2014-2020, indicare i progetti a cui ha partecipato il soggetto giuridico. Per partecipazione si intende l’avvenuto inserimento del soggetto giuridico nel quadro partecipanti di SIU, in relazione alla domanda di sostegno presentata per la partecipazione al bando.</w:t>
      </w:r>
    </w:p>
    <w:p w:rsidR="00000000" w:rsidDel="00000000" w:rsidP="00000000" w:rsidRDefault="00000000" w:rsidRPr="00000000" w14:paraId="000002DE">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DF">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500 caratteri)</w:t>
      </w:r>
    </w:p>
    <w:p w:rsidR="00000000" w:rsidDel="00000000" w:rsidP="00000000" w:rsidRDefault="00000000" w:rsidRPr="00000000" w14:paraId="000002E0">
      <w:pPr>
        <w:jc w:val="both"/>
        <w:rPr>
          <w:rFonts w:ascii="Times New Roman" w:cs="Times New Roman" w:eastAsia="Times New Roman" w:hAnsi="Times New Roman"/>
          <w:sz w:val="22"/>
          <w:szCs w:val="22"/>
        </w:rPr>
      </w:pPr>
      <w:r w:rsidDel="00000000" w:rsidR="00000000" w:rsidRPr="00000000">
        <w:rPr>
          <w:rtl w:val="0"/>
        </w:rPr>
      </w:r>
    </w:p>
    <w:tbl>
      <w:tblPr>
        <w:tblStyle w:val="Table54"/>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858" w:hRule="atLeast"/>
          <w:tblHeader w:val="0"/>
        </w:trPr>
        <w:tc>
          <w:tcPr>
            <w:shd w:fill="auto" w:val="clear"/>
          </w:tcPr>
          <w:p w:rsidR="00000000" w:rsidDel="00000000" w:rsidP="00000000" w:rsidRDefault="00000000" w:rsidRPr="00000000" w14:paraId="000002E1">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E3">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E4">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E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6">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Solidità economico finanziaria</w:t>
      </w:r>
    </w:p>
    <w:p w:rsidR="00000000" w:rsidDel="00000000" w:rsidP="00000000" w:rsidRDefault="00000000" w:rsidRPr="00000000" w14:paraId="000002E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Contrassegnare una delle seguenti opzioni ai fini dell’ottenimento del riferito punteggio previsto:</w:t>
      </w:r>
    </w:p>
    <w:p w:rsidR="00000000" w:rsidDel="00000000" w:rsidP="00000000" w:rsidRDefault="00000000" w:rsidRPr="00000000" w14:paraId="000002E9">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soggetto giuridico ha depositato almeno un bilancio presso la competente CCIAA</w:t>
      </w:r>
    </w:p>
    <w:p w:rsidR="00000000" w:rsidDel="00000000" w:rsidP="00000000" w:rsidRDefault="00000000" w:rsidRPr="00000000" w14:paraId="000002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soggetto giuridico non ha mai depositato un bilancio presso la competente CCIAA ma allega al progetto un estratto di bilancio</w:t>
      </w:r>
    </w:p>
    <w:p w:rsidR="00000000" w:rsidDel="00000000" w:rsidP="00000000" w:rsidRDefault="00000000" w:rsidRPr="00000000" w14:paraId="000002EC">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ED">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EE">
      <w:pPr>
        <w:keepNext w:val="1"/>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Sinergia con azioni interregionali, transfrontaliere, transnazionali</w:t>
      </w:r>
    </w:p>
    <w:p w:rsidR="00000000" w:rsidDel="00000000" w:rsidP="00000000" w:rsidRDefault="00000000" w:rsidRPr="00000000" w14:paraId="000002EF">
      <w:pP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2F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Specificare le eventuali azioni interregionali, transfrontaliere, transnazionali sulle quali possono essere attuare sinergie e chiarire come possono concretizzarsi</w:t>
      </w:r>
    </w:p>
    <w:p w:rsidR="00000000" w:rsidDel="00000000" w:rsidP="00000000" w:rsidRDefault="00000000" w:rsidRPr="00000000" w14:paraId="000002F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2F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(max. 3.000 caratteri)</w:t>
      </w:r>
    </w:p>
    <w:p w:rsidR="00000000" w:rsidDel="00000000" w:rsidP="00000000" w:rsidRDefault="00000000" w:rsidRPr="00000000" w14:paraId="000002F3">
      <w:pPr>
        <w:jc w:val="both"/>
        <w:rPr>
          <w:rFonts w:ascii="Times New Roman" w:cs="Times New Roman" w:eastAsia="Times New Roman" w:hAnsi="Times New Roman"/>
          <w:sz w:val="22"/>
          <w:szCs w:val="22"/>
        </w:rPr>
      </w:pPr>
      <w:r w:rsidDel="00000000" w:rsidR="00000000" w:rsidRPr="00000000">
        <w:rPr>
          <w:rtl w:val="0"/>
        </w:rPr>
      </w:r>
    </w:p>
    <w:tbl>
      <w:tblPr>
        <w:tblStyle w:val="Table55"/>
        <w:tblW w:w="9645.0" w:type="dxa"/>
        <w:jc w:val="left"/>
        <w:tblInd w:w="-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45"/>
        <w:tblGridChange w:id="0">
          <w:tblGrid>
            <w:gridCol w:w="9645"/>
          </w:tblGrid>
        </w:tblGridChange>
      </w:tblGrid>
      <w:tr>
        <w:trPr>
          <w:cantSplit w:val="0"/>
          <w:trHeight w:val="858" w:hRule="atLeast"/>
          <w:tblHeader w:val="0"/>
        </w:trPr>
        <w:tc>
          <w:tcPr>
            <w:shd w:fill="auto" w:val="clear"/>
          </w:tcPr>
          <w:p w:rsidR="00000000" w:rsidDel="00000000" w:rsidP="00000000" w:rsidRDefault="00000000" w:rsidRPr="00000000" w14:paraId="000002F4">
            <w:pPr>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2F5">
            <w:pP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2F6">
            <w:pPr>
              <w:rPr>
                <w:rFonts w:ascii="Times New Roman" w:cs="Times New Roman" w:eastAsia="Times New Roman" w:hAnsi="Times New Roman"/>
                <w:sz w:val="19"/>
                <w:szCs w:val="19"/>
              </w:rPr>
            </w:pPr>
            <w:r w:rsidDel="00000000" w:rsidR="00000000" w:rsidRPr="00000000">
              <w:rPr>
                <w:rtl w:val="0"/>
              </w:rPr>
            </w:r>
          </w:p>
        </w:tc>
      </w:tr>
    </w:tbl>
    <w:p w:rsidR="00000000" w:rsidDel="00000000" w:rsidP="00000000" w:rsidRDefault="00000000" w:rsidRPr="00000000" w14:paraId="000002F7">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F8">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F9">
      <w:pPr>
        <w:keepNext w:val="1"/>
        <w:numPr>
          <w:ilvl w:val="0"/>
          <w:numId w:val="6"/>
        </w:numPr>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Rating di legalità</w:t>
      </w:r>
    </w:p>
    <w:p w:rsidR="00000000" w:rsidDel="00000000" w:rsidP="00000000" w:rsidRDefault="00000000" w:rsidRPr="00000000" w14:paraId="000002FA">
      <w:pPr>
        <w:ind w:left="708.661417322834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Il punteggio relativo al possesso del “Rating di legalità” è attribuito sulla base di quanto dichiarato dal soggetto giuridico all’interno di “SIU”.</w:t>
      </w:r>
      <w:r w:rsidDel="00000000" w:rsidR="00000000" w:rsidRPr="00000000">
        <w:rPr>
          <w:rtl w:val="0"/>
        </w:rPr>
      </w:r>
    </w:p>
    <w:p w:rsidR="00000000" w:rsidDel="00000000" w:rsidP="00000000" w:rsidRDefault="00000000" w:rsidRPr="00000000" w14:paraId="000002FB">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F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ind w:hanging="2"/>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FE">
      <w:pPr>
        <w:keepLines w:val="1"/>
        <w:ind w:left="6480" w:firstLine="720"/>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Firma </w:t>
      </w:r>
      <w:r w:rsidDel="00000000" w:rsidR="00000000" w:rsidRPr="00000000">
        <w:rPr>
          <w:rFonts w:ascii="Times New Roman" w:cs="Times New Roman" w:eastAsia="Times New Roman" w:hAnsi="Times New Roman"/>
          <w:b w:val="1"/>
          <w:sz w:val="22"/>
          <w:szCs w:val="22"/>
          <w:rtl w:val="0"/>
        </w:rPr>
        <w:t xml:space="preserve">DIGITALE</w:t>
      </w:r>
    </w:p>
    <w:p w:rsidR="00000000" w:rsidDel="00000000" w:rsidP="00000000" w:rsidRDefault="00000000" w:rsidRPr="00000000" w14:paraId="000002FF">
      <w:pPr>
        <w:keepNext w:val="1"/>
        <w:ind w:left="648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22"/>
          <w:szCs w:val="22"/>
          <w:rtl w:val="0"/>
        </w:rPr>
        <w:t xml:space="preserve">(del legale rappresentante del soggetto giuridico)*</w:t>
      </w:r>
      <w:r w:rsidDel="00000000" w:rsidR="00000000" w:rsidRPr="00000000">
        <w:rPr>
          <w:rtl w:val="0"/>
        </w:rPr>
      </w:r>
    </w:p>
    <w:p w:rsidR="00000000" w:rsidDel="00000000" w:rsidP="00000000" w:rsidRDefault="00000000" w:rsidRPr="00000000" w14:paraId="00000300">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301">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302">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30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Dopo aver trasformato il modello compilato in formato “PDF”, provvedere alla sottoscrizione con firma digitale.</w:t>
      </w:r>
    </w:p>
    <w:sectPr>
      <w:footerReference r:id="rId10"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04">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40"/>
        <w:szCs w:val="4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sz w:val="40"/>
      <w:szCs w:val="40"/>
    </w:rPr>
  </w:style>
  <w:style w:type="paragraph" w:styleId="Heading2">
    <w:name w:val="heading 2"/>
    <w:basedOn w:val="Normal"/>
    <w:next w:val="Normal"/>
    <w:pPr>
      <w:keepNext w:val="1"/>
    </w:pPr>
    <w:rPr>
      <w:sz w:val="52"/>
      <w:szCs w:val="52"/>
    </w:rPr>
  </w:style>
  <w:style w:type="paragraph" w:styleId="Heading3">
    <w:name w:val="heading 3"/>
    <w:basedOn w:val="Normal"/>
    <w:next w:val="Normal"/>
    <w:pPr>
      <w:keepNext w:val="1"/>
      <w:jc w:val="center"/>
    </w:pPr>
    <w:rPr>
      <w:b w:val="1"/>
      <w:sz w:val="18"/>
      <w:szCs w:val="18"/>
    </w:rPr>
  </w:style>
  <w:style w:type="paragraph" w:styleId="Heading4">
    <w:name w:val="heading 4"/>
    <w:basedOn w:val="Normal"/>
    <w:next w:val="Normal"/>
    <w:pPr>
      <w:keepNext w:val="1"/>
      <w:jc w:val="both"/>
    </w:pPr>
    <w:rPr>
      <w:b w:val="1"/>
    </w:rPr>
  </w:style>
  <w:style w:type="paragraph" w:styleId="Heading5">
    <w:name w:val="heading 5"/>
    <w:basedOn w:val="Normal"/>
    <w:next w:val="Normal"/>
    <w:pPr>
      <w:keepNext w:val="1"/>
      <w:jc w:val="both"/>
    </w:pPr>
    <w:rPr>
      <w:b w:val="1"/>
      <w:sz w:val="28"/>
      <w:szCs w:val="28"/>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style>
  <w:style w:type="paragraph" w:styleId="Titolo1">
    <w:name w:val="heading 1"/>
    <w:basedOn w:val="Normale"/>
    <w:next w:val="Normale"/>
    <w:link w:val="Titolo1Carattere"/>
    <w:uiPriority w:val="9"/>
    <w:qFormat w:val="1"/>
    <w:pPr>
      <w:keepNext w:val="1"/>
      <w:outlineLvl w:val="0"/>
    </w:pPr>
    <w:rPr>
      <w:sz w:val="40"/>
      <w:szCs w:val="40"/>
    </w:rPr>
  </w:style>
  <w:style w:type="paragraph" w:styleId="Titolo2">
    <w:name w:val="heading 2"/>
    <w:basedOn w:val="Normale"/>
    <w:next w:val="Normale"/>
    <w:link w:val="Titolo2Carattere"/>
    <w:uiPriority w:val="9"/>
    <w:semiHidden w:val="1"/>
    <w:unhideWhenUsed w:val="1"/>
    <w:qFormat w:val="1"/>
    <w:pPr>
      <w:keepNext w:val="1"/>
      <w:outlineLvl w:val="1"/>
    </w:pPr>
    <w:rPr>
      <w:sz w:val="52"/>
      <w:szCs w:val="52"/>
    </w:rPr>
  </w:style>
  <w:style w:type="paragraph" w:styleId="Titolo3">
    <w:name w:val="heading 3"/>
    <w:basedOn w:val="Normale"/>
    <w:next w:val="Normale"/>
    <w:link w:val="Titolo3Carattere"/>
    <w:uiPriority w:val="9"/>
    <w:semiHidden w:val="1"/>
    <w:unhideWhenUsed w:val="1"/>
    <w:qFormat w:val="1"/>
    <w:pPr>
      <w:keepNext w:val="1"/>
      <w:jc w:val="center"/>
      <w:outlineLvl w:val="2"/>
    </w:pPr>
    <w:rPr>
      <w:b w:val="1"/>
      <w:bCs w:val="1"/>
      <w:sz w:val="18"/>
      <w:szCs w:val="18"/>
    </w:rPr>
  </w:style>
  <w:style w:type="paragraph" w:styleId="Titolo4">
    <w:name w:val="heading 4"/>
    <w:basedOn w:val="Normale"/>
    <w:next w:val="Normale"/>
    <w:link w:val="Titolo4Carattere"/>
    <w:uiPriority w:val="9"/>
    <w:semiHidden w:val="1"/>
    <w:unhideWhenUsed w:val="1"/>
    <w:qFormat w:val="1"/>
    <w:pPr>
      <w:keepNext w:val="1"/>
      <w:jc w:val="both"/>
      <w:outlineLvl w:val="3"/>
    </w:pPr>
    <w:rPr>
      <w:b w:val="1"/>
      <w:bCs w:val="1"/>
    </w:rPr>
  </w:style>
  <w:style w:type="paragraph" w:styleId="Titolo5">
    <w:name w:val="heading 5"/>
    <w:basedOn w:val="Normale"/>
    <w:next w:val="Normale"/>
    <w:link w:val="Titolo5Carattere"/>
    <w:uiPriority w:val="9"/>
    <w:semiHidden w:val="1"/>
    <w:unhideWhenUsed w:val="1"/>
    <w:qFormat w:val="1"/>
    <w:pPr>
      <w:keepNext w:val="1"/>
      <w:jc w:val="both"/>
      <w:outlineLvl w:val="4"/>
    </w:pPr>
    <w:rPr>
      <w:b w:val="1"/>
      <w:bCs w:val="1"/>
      <w:sz w:val="28"/>
      <w:szCs w:val="28"/>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character" w:styleId="Titolo1Carattere" w:customStyle="1">
    <w:name w:val="Titolo 1 Carattere"/>
    <w:link w:val="Titolo1"/>
    <w:uiPriority w:val="9"/>
    <w:rPr>
      <w:rFonts w:ascii="Cambria" w:cs="Times New Roman" w:eastAsia="Times New Roman" w:hAnsi="Cambria"/>
      <w:b w:val="1"/>
      <w:bCs w:val="1"/>
      <w:kern w:val="32"/>
      <w:sz w:val="32"/>
      <w:szCs w:val="32"/>
    </w:rPr>
  </w:style>
  <w:style w:type="character" w:styleId="Titolo2Carattere" w:customStyle="1">
    <w:name w:val="Titolo 2 Carattere"/>
    <w:link w:val="Titolo2"/>
    <w:uiPriority w:val="9"/>
    <w:semiHidden w:val="1"/>
    <w:rPr>
      <w:rFonts w:ascii="Cambria" w:cs="Times New Roman" w:eastAsia="Times New Roman" w:hAnsi="Cambria"/>
      <w:b w:val="1"/>
      <w:bCs w:val="1"/>
      <w:i w:val="1"/>
      <w:iCs w:val="1"/>
      <w:sz w:val="28"/>
      <w:szCs w:val="28"/>
    </w:rPr>
  </w:style>
  <w:style w:type="character" w:styleId="Titolo3Carattere" w:customStyle="1">
    <w:name w:val="Titolo 3 Carattere"/>
    <w:link w:val="Titolo3"/>
    <w:uiPriority w:val="9"/>
    <w:semiHidden w:val="1"/>
    <w:rPr>
      <w:rFonts w:ascii="Cambria" w:cs="Times New Roman" w:eastAsia="Times New Roman" w:hAnsi="Cambria"/>
      <w:b w:val="1"/>
      <w:bCs w:val="1"/>
      <w:sz w:val="26"/>
      <w:szCs w:val="26"/>
    </w:rPr>
  </w:style>
  <w:style w:type="character" w:styleId="Titolo4Carattere" w:customStyle="1">
    <w:name w:val="Titolo 4 Carattere"/>
    <w:link w:val="Titolo4"/>
    <w:uiPriority w:val="9"/>
    <w:semiHidden w:val="1"/>
    <w:rPr>
      <w:rFonts w:ascii="Calibri" w:cs="Times New Roman" w:eastAsia="Times New Roman" w:hAnsi="Calibri"/>
      <w:b w:val="1"/>
      <w:bCs w:val="1"/>
      <w:sz w:val="28"/>
      <w:szCs w:val="28"/>
    </w:rPr>
  </w:style>
  <w:style w:type="character" w:styleId="Titolo5Carattere" w:customStyle="1">
    <w:name w:val="Titolo 5 Carattere"/>
    <w:link w:val="Titolo5"/>
    <w:uiPriority w:val="9"/>
    <w:semiHidden w:val="1"/>
    <w:rPr>
      <w:rFonts w:ascii="Calibri" w:cs="Times New Roman" w:eastAsia="Times New Roman" w:hAnsi="Calibri"/>
      <w:b w:val="1"/>
      <w:bCs w:val="1"/>
      <w:i w:val="1"/>
      <w:iCs w:val="1"/>
      <w:sz w:val="26"/>
      <w:szCs w:val="26"/>
    </w:rPr>
  </w:style>
  <w:style w:type="paragraph" w:styleId="Corpodeltesto2">
    <w:name w:val="Body Text 2"/>
    <w:basedOn w:val="Normale"/>
    <w:link w:val="Corpodeltesto2Carattere"/>
    <w:uiPriority w:val="99"/>
    <w:pPr>
      <w:ind w:right="-143"/>
      <w:jc w:val="both"/>
    </w:pPr>
  </w:style>
  <w:style w:type="character" w:styleId="Corpodeltesto2Carattere" w:customStyle="1">
    <w:name w:val="Corpo del testo 2 Carattere"/>
    <w:link w:val="Corpodeltesto2"/>
    <w:uiPriority w:val="99"/>
    <w:semiHidden w:val="1"/>
    <w:rPr>
      <w:rFonts w:ascii="Arial" w:cs="Arial" w:hAnsi="Arial"/>
      <w:sz w:val="24"/>
      <w:szCs w:val="24"/>
    </w:rPr>
  </w:style>
  <w:style w:type="paragraph" w:styleId="Rientrocorpodeltesto2">
    <w:name w:val="Body Text Indent 2"/>
    <w:basedOn w:val="Normale"/>
    <w:link w:val="Rientrocorpodeltesto2Carattere"/>
    <w:uiPriority w:val="99"/>
    <w:pPr>
      <w:ind w:firstLine="360"/>
      <w:jc w:val="both"/>
    </w:pPr>
    <w:rPr>
      <w:rFonts w:ascii="Bookman Old Style" w:cs="Bookman Old Style" w:hAnsi="Bookman Old Style"/>
    </w:rPr>
  </w:style>
  <w:style w:type="character" w:styleId="Rientrocorpodeltesto2Carattere" w:customStyle="1">
    <w:name w:val="Rientro corpo del testo 2 Carattere"/>
    <w:link w:val="Rientrocorpodeltesto2"/>
    <w:uiPriority w:val="99"/>
    <w:semiHidden w:val="1"/>
    <w:rPr>
      <w:rFonts w:ascii="Arial" w:cs="Arial" w:hAnsi="Arial"/>
      <w:sz w:val="24"/>
      <w:szCs w:val="24"/>
    </w:rPr>
  </w:style>
  <w:style w:type="paragraph" w:styleId="Corpodeltesto" w:customStyle="1">
    <w:name w:val="Corpo del testo"/>
    <w:basedOn w:val="Normale"/>
    <w:link w:val="CorpodeltestoCarattere"/>
    <w:uiPriority w:val="99"/>
    <w:pPr>
      <w:jc w:val="both"/>
    </w:pPr>
    <w:rPr>
      <w:rFonts w:ascii="Bookman Old Style" w:cs="Bookman Old Style" w:hAnsi="Bookman Old Style"/>
    </w:rPr>
  </w:style>
  <w:style w:type="character" w:styleId="CorpodeltestoCarattere" w:customStyle="1">
    <w:name w:val="Corpo del testo Carattere"/>
    <w:link w:val="Corpodeltesto"/>
    <w:uiPriority w:val="99"/>
    <w:semiHidden w:val="1"/>
    <w:rPr>
      <w:rFonts w:ascii="Arial" w:cs="Arial" w:hAnsi="Arial"/>
      <w:sz w:val="24"/>
      <w:szCs w:val="24"/>
    </w:rPr>
  </w:style>
  <w:style w:type="paragraph" w:styleId="Rientrocorpodeltesto3">
    <w:name w:val="Body Text Indent 3"/>
    <w:basedOn w:val="Normale"/>
    <w:link w:val="Rientrocorpodeltesto3Carattere"/>
    <w:uiPriority w:val="99"/>
    <w:pPr>
      <w:ind w:firstLine="708"/>
      <w:jc w:val="both"/>
    </w:pPr>
    <w:rPr>
      <w:rFonts w:ascii="Bookman Old Style" w:cs="Bookman Old Style" w:hAnsi="Bookman Old Style"/>
    </w:rPr>
  </w:style>
  <w:style w:type="character" w:styleId="Rientrocorpodeltesto3Carattere" w:customStyle="1">
    <w:name w:val="Rientro corpo del testo 3 Carattere"/>
    <w:link w:val="Rientrocorpodeltesto3"/>
    <w:uiPriority w:val="99"/>
    <w:semiHidden w:val="1"/>
    <w:rPr>
      <w:rFonts w:ascii="Arial" w:cs="Arial" w:hAnsi="Arial"/>
      <w:sz w:val="16"/>
      <w:szCs w:val="16"/>
    </w:rPr>
  </w:style>
  <w:style w:type="paragraph" w:styleId="Pidipagina">
    <w:name w:val="footer"/>
    <w:basedOn w:val="Normale"/>
    <w:link w:val="PidipaginaCarattere"/>
    <w:uiPriority w:val="99"/>
    <w:pPr>
      <w:tabs>
        <w:tab w:val="center" w:pos="4819"/>
        <w:tab w:val="right" w:pos="9638"/>
      </w:tabs>
    </w:pPr>
  </w:style>
  <w:style w:type="character" w:styleId="PidipaginaCarattere" w:customStyle="1">
    <w:name w:val="Piè di pagina Carattere"/>
    <w:link w:val="Pidipagina"/>
    <w:uiPriority w:val="99"/>
    <w:semiHidden w:val="1"/>
    <w:rPr>
      <w:rFonts w:ascii="Arial" w:cs="Arial" w:hAnsi="Arial"/>
      <w:sz w:val="24"/>
      <w:szCs w:val="24"/>
    </w:rPr>
  </w:style>
  <w:style w:type="character" w:styleId="Numeropagina">
    <w:name w:val="page number"/>
    <w:uiPriority w:val="99"/>
    <w:rPr>
      <w:rFonts w:cs="Times New Roman"/>
    </w:rPr>
  </w:style>
  <w:style w:type="paragraph" w:styleId="Intestazione">
    <w:name w:val="header"/>
    <w:basedOn w:val="Normale"/>
    <w:link w:val="IntestazioneCarattere"/>
    <w:uiPriority w:val="99"/>
    <w:pPr>
      <w:tabs>
        <w:tab w:val="center" w:pos="4819"/>
        <w:tab w:val="right" w:pos="9638"/>
      </w:tabs>
    </w:pPr>
  </w:style>
  <w:style w:type="character" w:styleId="IntestazioneCarattere" w:customStyle="1">
    <w:name w:val="Intestazione Carattere"/>
    <w:link w:val="Intestazione"/>
    <w:uiPriority w:val="99"/>
    <w:semiHidden w:val="1"/>
    <w:rPr>
      <w:rFonts w:ascii="Arial" w:cs="Arial" w:hAnsi="Arial"/>
      <w:sz w:val="24"/>
      <w:szCs w:val="24"/>
    </w:rPr>
  </w:style>
  <w:style w:type="character" w:styleId="CorpotestoCarattere" w:customStyle="1">
    <w:name w:val="Corpo testo Carattere"/>
    <w:uiPriority w:val="99"/>
    <w:semiHidden w:val="1"/>
    <w:rsid w:val="002D0CBB"/>
    <w:rPr>
      <w:rFonts w:ascii="Arial" w:cs="Arial" w:hAnsi="Arial"/>
      <w:sz w:val="24"/>
      <w:szCs w:val="24"/>
    </w:rPr>
  </w:style>
  <w:style w:type="character" w:styleId="Collegamentoipertestuale">
    <w:name w:val="Hyperlink"/>
    <w:uiPriority w:val="99"/>
    <w:unhideWhenUsed w:val="1"/>
    <w:rsid w:val="002D0CBB"/>
    <w:rPr>
      <w:color w:val="0000ff"/>
      <w:u w:val="single"/>
    </w:rPr>
  </w:style>
  <w:style w:type="table" w:styleId="Grigliatabella">
    <w:name w:val="Table Grid"/>
    <w:basedOn w:val="Tabellanormale"/>
    <w:uiPriority w:val="59"/>
    <w:rsid w:val="002D0CB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notaapidipagina">
    <w:name w:val="footnote text"/>
    <w:basedOn w:val="Normale"/>
    <w:link w:val="TestonotaapidipaginaCarattere"/>
    <w:uiPriority w:val="99"/>
    <w:semiHidden w:val="1"/>
    <w:unhideWhenUsed w:val="1"/>
    <w:rsid w:val="002D0CBB"/>
    <w:rPr>
      <w:sz w:val="20"/>
      <w:szCs w:val="20"/>
    </w:rPr>
  </w:style>
  <w:style w:type="character" w:styleId="TestonotaapidipaginaCarattere" w:customStyle="1">
    <w:name w:val="Testo nota a piè di pagina Carattere"/>
    <w:link w:val="Testonotaapidipagina"/>
    <w:uiPriority w:val="99"/>
    <w:semiHidden w:val="1"/>
    <w:rsid w:val="002D0CBB"/>
    <w:rPr>
      <w:rFonts w:ascii="Arial" w:cs="Arial" w:hAnsi="Arial"/>
    </w:rPr>
  </w:style>
  <w:style w:type="character" w:styleId="Rimandonotaapidipagina">
    <w:name w:val="footnote reference"/>
    <w:uiPriority w:val="99"/>
    <w:semiHidden w:val="1"/>
    <w:unhideWhenUsed w:val="1"/>
    <w:rsid w:val="002D0CBB"/>
    <w:rPr>
      <w:vertAlign w:val="superscript"/>
    </w:rPr>
  </w:style>
  <w:style w:type="paragraph" w:styleId="Testofumetto">
    <w:name w:val="Balloon Text"/>
    <w:basedOn w:val="Normale"/>
    <w:link w:val="TestofumettoCarattere"/>
    <w:uiPriority w:val="99"/>
    <w:semiHidden w:val="1"/>
    <w:unhideWhenUsed w:val="1"/>
    <w:rsid w:val="002D0CBB"/>
    <w:rPr>
      <w:rFonts w:ascii="Tahoma" w:cs="Tahoma" w:hAnsi="Tahoma"/>
      <w:sz w:val="16"/>
      <w:szCs w:val="16"/>
    </w:rPr>
  </w:style>
  <w:style w:type="character" w:styleId="TestofumettoCarattere" w:customStyle="1">
    <w:name w:val="Testo fumetto Carattere"/>
    <w:link w:val="Testofumetto"/>
    <w:uiPriority w:val="99"/>
    <w:semiHidden w:val="1"/>
    <w:rsid w:val="002D0CBB"/>
    <w:rPr>
      <w:rFonts w:ascii="Tahoma" w:cs="Tahoma" w:hAnsi="Tahoma"/>
      <w:sz w:val="16"/>
      <w:szCs w:val="16"/>
    </w:rPr>
  </w:style>
  <w:style w:type="character" w:styleId="Rimandocommento">
    <w:name w:val="annotation reference"/>
    <w:uiPriority w:val="99"/>
    <w:semiHidden w:val="1"/>
    <w:unhideWhenUsed w:val="1"/>
    <w:rPr>
      <w:sz w:val="16"/>
      <w:szCs w:val="16"/>
    </w:rPr>
  </w:style>
  <w:style w:type="paragraph" w:styleId="Testocommento">
    <w:name w:val="annotation text"/>
    <w:basedOn w:val="Normale"/>
    <w:link w:val="TestocommentoCarattere1"/>
    <w:uiPriority w:val="99"/>
    <w:semiHidden w:val="1"/>
    <w:unhideWhenUsed w:val="1"/>
    <w:rPr>
      <w:sz w:val="20"/>
      <w:szCs w:val="20"/>
    </w:rPr>
  </w:style>
  <w:style w:type="character" w:styleId="TestocommentoCarattere" w:customStyle="1">
    <w:name w:val="Testo commento Carattere"/>
    <w:uiPriority w:val="99"/>
    <w:semiHidden w:val="1"/>
    <w:rsid w:val="002D0CBB"/>
    <w:rPr>
      <w:rFonts w:ascii="Arial" w:cs="Arial" w:hAnsi="Arial"/>
    </w:rPr>
  </w:style>
  <w:style w:type="paragraph" w:styleId="Soggettocommento">
    <w:name w:val="annotation subject"/>
    <w:basedOn w:val="Testocommento"/>
    <w:next w:val="Testocommento"/>
    <w:link w:val="SoggettocommentoCarattere1"/>
    <w:uiPriority w:val="99"/>
    <w:semiHidden w:val="1"/>
    <w:unhideWhenUsed w:val="1"/>
    <w:rPr>
      <w:b w:val="1"/>
      <w:bCs w:val="1"/>
    </w:rPr>
  </w:style>
  <w:style w:type="character" w:styleId="SoggettocommentoCarattere" w:customStyle="1">
    <w:name w:val="Soggetto commento Carattere"/>
    <w:uiPriority w:val="99"/>
    <w:semiHidden w:val="1"/>
    <w:rsid w:val="002D0CBB"/>
    <w:rPr>
      <w:rFonts w:ascii="Arial" w:cs="Arial" w:hAnsi="Arial"/>
      <w:b w:val="1"/>
      <w:bCs w:val="1"/>
    </w:rPr>
  </w:style>
  <w:style w:type="paragraph" w:styleId="Paragrafoelenco">
    <w:name w:val="List Paragraph"/>
    <w:basedOn w:val="Normale"/>
    <w:uiPriority w:val="34"/>
    <w:qFormat w:val="1"/>
    <w:rsid w:val="00D34114"/>
    <w:pPr>
      <w:ind w:left="720"/>
      <w:contextualSpacing w:val="1"/>
    </w:pPr>
  </w:style>
  <w:style w:type="character" w:styleId="SoggettocommentoCarattere1" w:customStyle="1">
    <w:name w:val="Soggetto commento Carattere1"/>
    <w:basedOn w:val="TestocommentoCarattere1"/>
    <w:link w:val="Soggettocommento"/>
    <w:uiPriority w:val="99"/>
    <w:semiHidden w:val="1"/>
    <w:rPr>
      <w:b w:val="1"/>
      <w:bCs w:val="1"/>
      <w:sz w:val="20"/>
      <w:szCs w:val="20"/>
    </w:rPr>
  </w:style>
  <w:style w:type="character" w:styleId="TestocommentoCarattere1" w:customStyle="1">
    <w:name w:val="Testo commento Carattere1"/>
    <w:link w:val="Testocommento"/>
    <w:uiPriority w:val="99"/>
    <w:semiHidden w:val="1"/>
    <w:rPr>
      <w:sz w:val="20"/>
      <w:szCs w:val="20"/>
    </w:rPr>
  </w:style>
  <w:style w:type="paragraph" w:styleId="Sottotitolo">
    <w:name w:val="Subtitle"/>
    <w:basedOn w:val="Normale"/>
    <w:next w:val="Normale"/>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CellMar>
        <w:left w:w="115.0" w:type="dxa"/>
        <w:right w:w="115.0" w:type="dxa"/>
      </w:tblCellMar>
    </w:tblPr>
  </w:style>
  <w:style w:type="table" w:styleId="a0" w:customStyle="1">
    <w:basedOn w:val="TableNormal0"/>
    <w:tblPr>
      <w:tblStyleRowBandSize w:val="1"/>
      <w:tblStyleColBandSize w:val="1"/>
      <w:tblCellMar>
        <w:left w:w="115.0" w:type="dxa"/>
        <w:right w:w="115.0" w:type="dxa"/>
      </w:tblCellMar>
    </w:tblPr>
  </w:style>
  <w:style w:type="table" w:styleId="a1" w:customStyle="1">
    <w:basedOn w:val="TableNormal0"/>
    <w:tblPr>
      <w:tblStyleRowBandSize w:val="1"/>
      <w:tblStyleColBandSize w:val="1"/>
      <w:tblCellMar>
        <w:left w:w="108.0" w:type="dxa"/>
        <w:right w:w="108.0" w:type="dxa"/>
      </w:tblCellMar>
    </w:tblPr>
  </w:style>
  <w:style w:type="table" w:styleId="a2" w:customStyle="1">
    <w:basedOn w:val="TableNormal0"/>
    <w:tblPr>
      <w:tblStyleRowBandSize w:val="1"/>
      <w:tblStyleColBandSize w:val="1"/>
      <w:tblCellMar>
        <w:left w:w="108.0" w:type="dxa"/>
        <w:right w:w="108.0" w:type="dxa"/>
      </w:tblCellMar>
    </w:tblPr>
  </w:style>
  <w:style w:type="table" w:styleId="a3" w:customStyle="1">
    <w:basedOn w:val="TableNormal0"/>
    <w:tblPr>
      <w:tblStyleRowBandSize w:val="1"/>
      <w:tblStyleColBandSize w:val="1"/>
      <w:tblCellMar>
        <w:left w:w="108.0" w:type="dxa"/>
        <w:right w:w="108.0" w:type="dxa"/>
      </w:tblCellMar>
    </w:tblPr>
  </w:style>
  <w:style w:type="table" w:styleId="a4" w:customStyle="1">
    <w:basedOn w:val="TableNormal0"/>
    <w:tblPr>
      <w:tblStyleRowBandSize w:val="1"/>
      <w:tblStyleColBandSize w:val="1"/>
      <w:tblCellMar>
        <w:left w:w="108.0" w:type="dxa"/>
        <w:right w:w="108.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a8" w:customStyle="1">
    <w:basedOn w:val="TableNormal0"/>
    <w:tblPr>
      <w:tblStyleRowBandSize w:val="1"/>
      <w:tblStyleColBandSize w:val="1"/>
      <w:tblCellMar>
        <w:left w:w="115.0" w:type="dxa"/>
        <w:right w:w="115.0" w:type="dxa"/>
      </w:tblCellMar>
    </w:tblPr>
  </w:style>
  <w:style w:type="table" w:styleId="a9" w:customStyle="1">
    <w:basedOn w:val="TableNormal0"/>
    <w:tblPr>
      <w:tblStyleRowBandSize w:val="1"/>
      <w:tblStyleColBandSize w:val="1"/>
      <w:tblCellMar>
        <w:left w:w="115.0" w:type="dxa"/>
        <w:right w:w="115.0" w:type="dxa"/>
      </w:tblCellMar>
    </w:tblPr>
  </w:style>
  <w:style w:type="table" w:styleId="aa" w:customStyle="1">
    <w:basedOn w:val="TableNormal0"/>
    <w:tblPr>
      <w:tblStyleRowBandSize w:val="1"/>
      <w:tblStyleColBandSize w:val="1"/>
      <w:tblCellMar>
        <w:left w:w="115.0" w:type="dxa"/>
        <w:right w:w="115.0" w:type="dxa"/>
      </w:tblCellMar>
    </w:tblPr>
  </w:style>
  <w:style w:type="table" w:styleId="ab" w:customStyle="1">
    <w:basedOn w:val="TableNormal0"/>
    <w:tblPr>
      <w:tblStyleRowBandSize w:val="1"/>
      <w:tblStyleColBandSize w:val="1"/>
      <w:tblCellMar>
        <w:left w:w="108.0" w:type="dxa"/>
        <w:right w:w="108.0" w:type="dxa"/>
      </w:tblCellMar>
    </w:tblPr>
  </w:style>
  <w:style w:type="table" w:styleId="ac" w:customStyle="1">
    <w:basedOn w:val="TableNormal0"/>
    <w:tblPr>
      <w:tblStyleRowBandSize w:val="1"/>
      <w:tblStyleColBandSize w:val="1"/>
      <w:tblCellMar>
        <w:left w:w="108.0" w:type="dxa"/>
        <w:right w:w="108.0" w:type="dxa"/>
      </w:tblCellMar>
    </w:tblPr>
  </w:style>
  <w:style w:type="table" w:styleId="ad" w:customStyle="1">
    <w:basedOn w:val="TableNormal0"/>
    <w:tblPr>
      <w:tblStyleRowBandSize w:val="1"/>
      <w:tblStyleColBandSize w:val="1"/>
      <w:tblCellMar>
        <w:left w:w="115.0" w:type="dxa"/>
        <w:right w:w="115.0" w:type="dxa"/>
      </w:tblCellMar>
    </w:tblPr>
  </w:style>
  <w:style w:type="table" w:styleId="ae" w:customStyle="1">
    <w:basedOn w:val="TableNormal0"/>
    <w:tblPr>
      <w:tblStyleRowBandSize w:val="1"/>
      <w:tblStyleColBandSize w:val="1"/>
      <w:tblCellMar>
        <w:left w:w="115.0" w:type="dxa"/>
        <w:right w:w="115.0" w:type="dxa"/>
      </w:tblCellMar>
    </w:tblPr>
  </w:style>
  <w:style w:type="table" w:styleId="af" w:customStyle="1">
    <w:basedOn w:val="TableNormal0"/>
    <w:tblPr>
      <w:tblStyleRowBandSize w:val="1"/>
      <w:tblStyleColBandSize w:val="1"/>
      <w:tblCellMar>
        <w:left w:w="115.0" w:type="dxa"/>
        <w:right w:w="115.0" w:type="dxa"/>
      </w:tblCellMar>
    </w:tblPr>
  </w:style>
  <w:style w:type="table" w:styleId="af0" w:customStyle="1">
    <w:basedOn w:val="TableNormal0"/>
    <w:tblPr>
      <w:tblStyleRowBandSize w:val="1"/>
      <w:tblStyleColBandSize w:val="1"/>
      <w:tblCellMar>
        <w:left w:w="115.0" w:type="dxa"/>
        <w:right w:w="115.0" w:type="dxa"/>
      </w:tblCellMar>
    </w:tblPr>
  </w:style>
  <w:style w:type="table" w:styleId="af1" w:customStyle="1">
    <w:basedOn w:val="TableNormal0"/>
    <w:tblPr>
      <w:tblStyleRowBandSize w:val="1"/>
      <w:tblStyleColBandSize w:val="1"/>
      <w:tblCellMar>
        <w:left w:w="70.0" w:type="dxa"/>
        <w:right w:w="70.0" w:type="dxa"/>
      </w:tblCellMar>
    </w:tblPr>
  </w:style>
  <w:style w:type="paragraph" w:styleId="Revisione">
    <w:name w:val="Revision"/>
    <w:hidden w:val="1"/>
    <w:uiPriority w:val="99"/>
    <w:semiHidden w:val="1"/>
    <w:rsid w:val="00BC04D9"/>
  </w:style>
  <w:style w:type="table" w:styleId="af2" w:customStyle="1">
    <w:basedOn w:val="TableNormal0"/>
    <w:tblPr>
      <w:tblStyleRowBandSize w:val="1"/>
      <w:tblStyleColBandSize w:val="1"/>
      <w:tblCellMar>
        <w:left w:w="70.0" w:type="dxa"/>
        <w:right w:w="70.0" w:type="dxa"/>
      </w:tblCellMar>
    </w:tblPr>
  </w:style>
  <w:style w:type="table" w:styleId="af3" w:customStyle="1">
    <w:basedOn w:val="TableNormal0"/>
    <w:tblPr>
      <w:tblStyleRowBandSize w:val="1"/>
      <w:tblStyleColBandSize w:val="1"/>
      <w:tblCellMar>
        <w:left w:w="70.0" w:type="dxa"/>
        <w:right w:w="70.0" w:type="dxa"/>
      </w:tblCellMar>
    </w:tblPr>
  </w:style>
  <w:style w:type="table" w:styleId="af4" w:customStyle="1">
    <w:basedOn w:val="TableNormal0"/>
    <w:tblPr>
      <w:tblStyleRowBandSize w:val="1"/>
      <w:tblStyleColBandSize w:val="1"/>
      <w:tblCellMar>
        <w:left w:w="70.0" w:type="dxa"/>
        <w:right w:w="70.0" w:type="dxa"/>
      </w:tblCellMar>
    </w:tblPr>
  </w:style>
  <w:style w:type="table" w:styleId="af5" w:customStyle="1">
    <w:basedOn w:val="TableNormal0"/>
    <w:tblPr>
      <w:tblStyleRowBandSize w:val="1"/>
      <w:tblStyleColBandSize w:val="1"/>
      <w:tblCellMar>
        <w:left w:w="70.0" w:type="dxa"/>
        <w:right w:w="70.0" w:type="dxa"/>
      </w:tblCellMar>
    </w:tblPr>
  </w:style>
  <w:style w:type="table" w:styleId="af6" w:customStyle="1">
    <w:basedOn w:val="TableNormal0"/>
    <w:tblPr>
      <w:tblStyleRowBandSize w:val="1"/>
      <w:tblStyleColBandSize w:val="1"/>
      <w:tblCellMar>
        <w:left w:w="70.0" w:type="dxa"/>
        <w:right w:w="70.0" w:type="dxa"/>
      </w:tblCellMar>
    </w:tblPr>
  </w:style>
  <w:style w:type="table" w:styleId="af7" w:customStyle="1">
    <w:basedOn w:val="TableNormal0"/>
    <w:tblPr>
      <w:tblStyleRowBandSize w:val="1"/>
      <w:tblStyleColBandSize w:val="1"/>
      <w:tblCellMar>
        <w:left w:w="70.0" w:type="dxa"/>
        <w:right w:w="70.0" w:type="dxa"/>
      </w:tblCellMar>
    </w:tblPr>
  </w:style>
  <w:style w:type="table" w:styleId="af8" w:customStyle="1">
    <w:basedOn w:val="TableNormal0"/>
    <w:tblPr>
      <w:tblStyleRowBandSize w:val="1"/>
      <w:tblStyleColBandSize w:val="1"/>
      <w:tblCellMar>
        <w:left w:w="115.0" w:type="dxa"/>
        <w:right w:w="115.0" w:type="dxa"/>
      </w:tblCellMar>
    </w:tblPr>
  </w:style>
  <w:style w:type="table" w:styleId="af9" w:customStyle="1">
    <w:basedOn w:val="TableNormal0"/>
    <w:tblPr>
      <w:tblStyleRowBandSize w:val="1"/>
      <w:tblStyleColBandSize w:val="1"/>
      <w:tblCellMar>
        <w:left w:w="70.0" w:type="dxa"/>
        <w:right w:w="70.0" w:type="dxa"/>
      </w:tblCellMar>
    </w:tblPr>
  </w:style>
  <w:style w:type="table" w:styleId="afa" w:customStyle="1">
    <w:basedOn w:val="TableNormal0"/>
    <w:tblPr>
      <w:tblStyleRowBandSize w:val="1"/>
      <w:tblStyleColBandSize w:val="1"/>
      <w:tblCellMar>
        <w:left w:w="70.0" w:type="dxa"/>
        <w:right w:w="70.0" w:type="dxa"/>
      </w:tblCellMar>
    </w:tblPr>
  </w:style>
  <w:style w:type="table" w:styleId="afb" w:customStyle="1">
    <w:basedOn w:val="TableNormal0"/>
    <w:tblPr>
      <w:tblStyleRowBandSize w:val="1"/>
      <w:tblStyleColBandSize w:val="1"/>
      <w:tblCellMar>
        <w:left w:w="70.0" w:type="dxa"/>
        <w:right w:w="70.0" w:type="dxa"/>
      </w:tblCellMar>
    </w:tblPr>
  </w:style>
  <w:style w:type="table" w:styleId="afc" w:customStyle="1">
    <w:basedOn w:val="TableNormal0"/>
    <w:tblPr>
      <w:tblStyleRowBandSize w:val="1"/>
      <w:tblStyleColBandSize w:val="1"/>
      <w:tblCellMar>
        <w:left w:w="70.0" w:type="dxa"/>
        <w:right w:w="70.0" w:type="dxa"/>
      </w:tblCellMar>
    </w:tblPr>
  </w:style>
  <w:style w:type="table" w:styleId="afd" w:customStyle="1">
    <w:basedOn w:val="TableNormal0"/>
    <w:tblPr>
      <w:tblStyleRowBandSize w:val="1"/>
      <w:tblStyleColBandSize w:val="1"/>
      <w:tblCellMar>
        <w:left w:w="70.0" w:type="dxa"/>
        <w:right w:w="70.0" w:type="dxa"/>
      </w:tblCellMar>
    </w:tblPr>
  </w:style>
  <w:style w:type="table" w:styleId="afe" w:customStyle="1">
    <w:basedOn w:val="TableNormal0"/>
    <w:tblPr>
      <w:tblStyleRowBandSize w:val="1"/>
      <w:tblStyleColBandSize w:val="1"/>
      <w:tblCellMar>
        <w:left w:w="70.0" w:type="dxa"/>
        <w:right w:w="70.0" w:type="dxa"/>
      </w:tblCellMar>
    </w:tblPr>
  </w:style>
  <w:style w:type="table" w:styleId="aff" w:customStyle="1">
    <w:basedOn w:val="TableNormal0"/>
    <w:tblPr>
      <w:tblStyleRowBandSize w:val="1"/>
      <w:tblStyleColBandSize w:val="1"/>
      <w:tblCellMar>
        <w:left w:w="70.0" w:type="dxa"/>
        <w:right w:w="70.0" w:type="dxa"/>
      </w:tblCellMar>
    </w:tblPr>
  </w:style>
  <w:style w:type="table" w:styleId="aff0" w:customStyle="1">
    <w:basedOn w:val="TableNormal0"/>
    <w:tblPr>
      <w:tblStyleRowBandSize w:val="1"/>
      <w:tblStyleColBandSize w:val="1"/>
      <w:tblCellMar>
        <w:left w:w="70.0" w:type="dxa"/>
        <w:right w:w="70.0" w:type="dxa"/>
      </w:tblCellMar>
    </w:tblPr>
  </w:style>
  <w:style w:type="table" w:styleId="aff1" w:customStyle="1">
    <w:basedOn w:val="TableNormal0"/>
    <w:tblPr>
      <w:tblStyleRowBandSize w:val="1"/>
      <w:tblStyleColBandSize w:val="1"/>
      <w:tblCellMar>
        <w:left w:w="70.0" w:type="dxa"/>
        <w:right w:w="70.0" w:type="dxa"/>
      </w:tblCellMar>
    </w:tblPr>
  </w:style>
  <w:style w:type="table" w:styleId="aff2" w:customStyle="1">
    <w:basedOn w:val="TableNormal0"/>
    <w:tblPr>
      <w:tblStyleRowBandSize w:val="1"/>
      <w:tblStyleColBandSize w:val="1"/>
      <w:tblCellMar>
        <w:left w:w="70.0" w:type="dxa"/>
        <w:right w:w="70.0" w:type="dxa"/>
      </w:tblCellMar>
    </w:tblPr>
  </w:style>
  <w:style w:type="table" w:styleId="aff3" w:customStyle="1">
    <w:basedOn w:val="TableNormal0"/>
    <w:tblPr>
      <w:tblStyleRowBandSize w:val="1"/>
      <w:tblStyleColBandSize w:val="1"/>
      <w:tblCellMar>
        <w:left w:w="70.0" w:type="dxa"/>
        <w:right w:w="70.0" w:type="dxa"/>
      </w:tblCellMar>
    </w:tblPr>
  </w:style>
  <w:style w:type="table" w:styleId="aff4" w:customStyle="1">
    <w:basedOn w:val="TableNormal0"/>
    <w:tblPr>
      <w:tblStyleRowBandSize w:val="1"/>
      <w:tblStyleColBandSize w:val="1"/>
      <w:tblCellMar>
        <w:left w:w="70.0" w:type="dxa"/>
        <w:right w:w="70.0" w:type="dxa"/>
      </w:tblCellMar>
    </w:tblPr>
  </w:style>
  <w:style w:type="table" w:styleId="aff5" w:customStyle="1">
    <w:basedOn w:val="TableNormal0"/>
    <w:tblPr>
      <w:tblStyleRowBandSize w:val="1"/>
      <w:tblStyleColBandSize w:val="1"/>
      <w:tblCellMar>
        <w:left w:w="70.0" w:type="dxa"/>
        <w:right w:w="70.0" w:type="dxa"/>
      </w:tblCellMar>
    </w:tblPr>
  </w:style>
  <w:style w:type="table" w:styleId="aff6" w:customStyle="1">
    <w:basedOn w:val="TableNormal0"/>
    <w:tblPr>
      <w:tblStyleRowBandSize w:val="1"/>
      <w:tblStyleColBandSize w:val="1"/>
      <w:tblCellMar>
        <w:top w:w="100.0" w:type="dxa"/>
        <w:left w:w="100.0" w:type="dxa"/>
        <w:bottom w:w="100.0" w:type="dxa"/>
        <w:right w:w="100.0" w:type="dxa"/>
      </w:tblCellMar>
    </w:tblPr>
  </w:style>
  <w:style w:type="table" w:styleId="aff7" w:customStyle="1">
    <w:basedOn w:val="TableNormal0"/>
    <w:tblPr>
      <w:tblStyleRowBandSize w:val="1"/>
      <w:tblStyleColBandSize w:val="1"/>
      <w:tblCellMar>
        <w:left w:w="70.0" w:type="dxa"/>
        <w:right w:w="70.0" w:type="dxa"/>
      </w:tblCellMar>
    </w:tblPr>
  </w:style>
  <w:style w:type="table" w:styleId="aff8" w:customStyle="1">
    <w:basedOn w:val="TableNormal0"/>
    <w:tblPr>
      <w:tblStyleRowBandSize w:val="1"/>
      <w:tblStyleColBandSize w:val="1"/>
      <w:tblCellMar>
        <w:left w:w="70.0" w:type="dxa"/>
        <w:right w:w="70.0" w:type="dxa"/>
      </w:tblCellMar>
    </w:tblPr>
  </w:style>
  <w:style w:type="table" w:styleId="aff9" w:customStyle="1">
    <w:basedOn w:val="TableNormal0"/>
    <w:tblPr>
      <w:tblStyleRowBandSize w:val="1"/>
      <w:tblStyleColBandSize w:val="1"/>
      <w:tblCellMar>
        <w:left w:w="7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70.0" w:type="dxa"/>
        <w:bottom w:w="100.0" w:type="dxa"/>
        <w:right w:w="70.0" w:type="dxa"/>
      </w:tblCellMar>
    </w:tblPr>
  </w:style>
  <w:style w:type="table" w:styleId="Table2">
    <w:basedOn w:val="TableNormal"/>
    <w:tblPr>
      <w:tblStyleRowBandSize w:val="1"/>
      <w:tblStyleColBandSize w:val="1"/>
      <w:tblCellMar>
        <w:top w:w="100.0" w:type="dxa"/>
        <w:left w:w="70.0" w:type="dxa"/>
        <w:bottom w:w="100.0" w:type="dxa"/>
        <w:right w:w="70.0" w:type="dxa"/>
      </w:tblCellMar>
    </w:tblPr>
  </w:style>
  <w:style w:type="table" w:styleId="Table3">
    <w:basedOn w:val="TableNormal"/>
    <w:tblPr>
      <w:tblStyleRowBandSize w:val="1"/>
      <w:tblStyleColBandSize w:val="1"/>
      <w:tblCellMar>
        <w:top w:w="100.0" w:type="dxa"/>
        <w:left w:w="70.0" w:type="dxa"/>
        <w:bottom w:w="100.0" w:type="dxa"/>
        <w:right w:w="70.0" w:type="dxa"/>
      </w:tblCellMar>
    </w:tblPr>
  </w:style>
  <w:style w:type="table" w:styleId="Table4">
    <w:basedOn w:val="TableNormal"/>
    <w:tblPr>
      <w:tblStyleRowBandSize w:val="1"/>
      <w:tblStyleColBandSize w:val="1"/>
      <w:tblCellMar>
        <w:top w:w="100.0" w:type="dxa"/>
        <w:left w:w="70.0" w:type="dxa"/>
        <w:bottom w:w="100.0" w:type="dxa"/>
        <w:right w:w="70.0" w:type="dxa"/>
      </w:tblCellMar>
    </w:tblPr>
  </w:style>
  <w:style w:type="table" w:styleId="Table5">
    <w:basedOn w:val="TableNormal"/>
    <w:tblPr>
      <w:tblStyleRowBandSize w:val="1"/>
      <w:tblStyleColBandSize w:val="1"/>
      <w:tblCellMar>
        <w:top w:w="100.0" w:type="dxa"/>
        <w:left w:w="70.0" w:type="dxa"/>
        <w:bottom w:w="100.0" w:type="dxa"/>
        <w:right w:w="70.0" w:type="dxa"/>
      </w:tblCellMar>
    </w:tblPr>
  </w:style>
  <w:style w:type="table" w:styleId="Table6">
    <w:basedOn w:val="TableNormal"/>
    <w:tblPr>
      <w:tblStyleRowBandSize w:val="1"/>
      <w:tblStyleColBandSize w:val="1"/>
      <w:tblCellMar>
        <w:top w:w="100.0" w:type="dxa"/>
        <w:left w:w="70.0" w:type="dxa"/>
        <w:bottom w:w="100.0" w:type="dxa"/>
        <w:right w:w="70.0" w:type="dxa"/>
      </w:tblCellMar>
    </w:tblPr>
  </w:style>
  <w:style w:type="table" w:styleId="Table7">
    <w:basedOn w:val="TableNormal"/>
    <w:tblPr>
      <w:tblStyleRowBandSize w:val="1"/>
      <w:tblStyleColBandSize w:val="1"/>
      <w:tblCellMar>
        <w:top w:w="100.0" w:type="dxa"/>
        <w:left w:w="70.0" w:type="dxa"/>
        <w:bottom w:w="100.0" w:type="dxa"/>
        <w:right w:w="70.0" w:type="dxa"/>
      </w:tblCellMar>
    </w:tblPr>
  </w:style>
  <w:style w:type="table" w:styleId="Table8">
    <w:basedOn w:val="TableNormal"/>
    <w:tblPr>
      <w:tblStyleRowBandSize w:val="1"/>
      <w:tblStyleColBandSize w:val="1"/>
      <w:tblCellMar>
        <w:top w:w="100.0" w:type="dxa"/>
        <w:left w:w="70.0" w:type="dxa"/>
        <w:bottom w:w="100.0" w:type="dxa"/>
        <w:right w:w="70.0" w:type="dxa"/>
      </w:tblCellMar>
    </w:tblPr>
  </w:style>
  <w:style w:type="table" w:styleId="Table9">
    <w:basedOn w:val="TableNormal"/>
    <w:tblPr>
      <w:tblStyleRowBandSize w:val="1"/>
      <w:tblStyleColBandSize w:val="1"/>
      <w:tblCellMar>
        <w:top w:w="100.0" w:type="dxa"/>
        <w:left w:w="70.0" w:type="dxa"/>
        <w:bottom w:w="100.0" w:type="dxa"/>
        <w:right w:w="70.0" w:type="dxa"/>
      </w:tblCellMar>
    </w:tblPr>
  </w:style>
  <w:style w:type="table" w:styleId="Table10">
    <w:basedOn w:val="TableNormal"/>
    <w:tblPr>
      <w:tblStyleRowBandSize w:val="1"/>
      <w:tblStyleColBandSize w:val="1"/>
      <w:tblCellMar>
        <w:top w:w="100.0" w:type="dxa"/>
        <w:left w:w="70.0" w:type="dxa"/>
        <w:bottom w:w="100.0" w:type="dxa"/>
        <w:right w:w="70.0" w:type="dxa"/>
      </w:tblCellMar>
    </w:tblPr>
  </w:style>
  <w:style w:type="table" w:styleId="Table11">
    <w:basedOn w:val="TableNormal"/>
    <w:tblPr>
      <w:tblStyleRowBandSize w:val="1"/>
      <w:tblStyleColBandSize w:val="1"/>
      <w:tblCellMar>
        <w:top w:w="100.0" w:type="dxa"/>
        <w:left w:w="70.0" w:type="dxa"/>
        <w:bottom w:w="100.0" w:type="dxa"/>
        <w:right w:w="70.0" w:type="dxa"/>
      </w:tblCellMar>
    </w:tblPr>
  </w:style>
  <w:style w:type="table" w:styleId="Table12">
    <w:basedOn w:val="TableNormal"/>
    <w:tblPr>
      <w:tblStyleRowBandSize w:val="1"/>
      <w:tblStyleColBandSize w:val="1"/>
      <w:tblCellMar>
        <w:top w:w="100.0" w:type="dxa"/>
        <w:left w:w="70.0" w:type="dxa"/>
        <w:bottom w:w="100.0" w:type="dxa"/>
        <w:right w:w="70.0" w:type="dxa"/>
      </w:tblCellMar>
    </w:tblPr>
  </w:style>
  <w:style w:type="table" w:styleId="Table13">
    <w:basedOn w:val="TableNormal"/>
    <w:tblPr>
      <w:tblStyleRowBandSize w:val="1"/>
      <w:tblStyleColBandSize w:val="1"/>
      <w:tblCellMar>
        <w:top w:w="100.0" w:type="dxa"/>
        <w:left w:w="70.0" w:type="dxa"/>
        <w:bottom w:w="100.0" w:type="dxa"/>
        <w:right w:w="70.0" w:type="dxa"/>
      </w:tblCellMar>
    </w:tblPr>
  </w:style>
  <w:style w:type="table" w:styleId="Table14">
    <w:basedOn w:val="TableNormal"/>
    <w:tblPr>
      <w:tblStyleRowBandSize w:val="1"/>
      <w:tblStyleColBandSize w:val="1"/>
      <w:tblCellMar>
        <w:top w:w="100.0" w:type="dxa"/>
        <w:left w:w="70.0" w:type="dxa"/>
        <w:bottom w:w="100.0" w:type="dxa"/>
        <w:right w:w="70.0" w:type="dxa"/>
      </w:tblCellMar>
    </w:tblPr>
  </w:style>
  <w:style w:type="table" w:styleId="Table15">
    <w:basedOn w:val="TableNormal"/>
    <w:tblPr>
      <w:tblStyleRowBandSize w:val="1"/>
      <w:tblStyleColBandSize w:val="1"/>
      <w:tblCellMar>
        <w:top w:w="100.0" w:type="dxa"/>
        <w:left w:w="70.0" w:type="dxa"/>
        <w:bottom w:w="100.0" w:type="dxa"/>
        <w:right w:w="70.0" w:type="dxa"/>
      </w:tblCellMar>
    </w:tblPr>
  </w:style>
  <w:style w:type="table" w:styleId="Table16">
    <w:basedOn w:val="TableNormal"/>
    <w:tblPr>
      <w:tblStyleRowBandSize w:val="1"/>
      <w:tblStyleColBandSize w:val="1"/>
      <w:tblCellMar>
        <w:top w:w="100.0" w:type="dxa"/>
        <w:left w:w="70.0" w:type="dxa"/>
        <w:bottom w:w="100.0" w:type="dxa"/>
        <w:right w:w="70.0" w:type="dxa"/>
      </w:tblCellMar>
    </w:tblPr>
  </w:style>
  <w:style w:type="table" w:styleId="Table17">
    <w:basedOn w:val="TableNormal"/>
    <w:tblPr>
      <w:tblStyleRowBandSize w:val="1"/>
      <w:tblStyleColBandSize w:val="1"/>
      <w:tblCellMar>
        <w:top w:w="100.0" w:type="dxa"/>
        <w:left w:w="70.0" w:type="dxa"/>
        <w:bottom w:w="100.0" w:type="dxa"/>
        <w:right w:w="70.0" w:type="dxa"/>
      </w:tblCellMar>
    </w:tblPr>
  </w:style>
  <w:style w:type="table" w:styleId="Table18">
    <w:basedOn w:val="TableNormal"/>
    <w:tblPr>
      <w:tblStyleRowBandSize w:val="1"/>
      <w:tblStyleColBandSize w:val="1"/>
      <w:tblCellMar>
        <w:top w:w="100.0" w:type="dxa"/>
        <w:left w:w="70.0" w:type="dxa"/>
        <w:bottom w:w="100.0" w:type="dxa"/>
        <w:right w:w="70.0" w:type="dxa"/>
      </w:tblCellMar>
    </w:tblPr>
  </w:style>
  <w:style w:type="table" w:styleId="Table19">
    <w:basedOn w:val="TableNormal"/>
    <w:tblPr>
      <w:tblStyleRowBandSize w:val="1"/>
      <w:tblStyleColBandSize w:val="1"/>
      <w:tblCellMar>
        <w:top w:w="100.0" w:type="dxa"/>
        <w:left w:w="70.0" w:type="dxa"/>
        <w:bottom w:w="100.0" w:type="dxa"/>
        <w:right w:w="70.0" w:type="dxa"/>
      </w:tblCellMar>
    </w:tblPr>
  </w:style>
  <w:style w:type="table" w:styleId="Table20">
    <w:basedOn w:val="TableNormal"/>
    <w:tblPr>
      <w:tblStyleRowBandSize w:val="1"/>
      <w:tblStyleColBandSize w:val="1"/>
      <w:tblCellMar>
        <w:top w:w="100.0" w:type="dxa"/>
        <w:left w:w="70.0" w:type="dxa"/>
        <w:bottom w:w="100.0" w:type="dxa"/>
        <w:right w:w="70.0" w:type="dxa"/>
      </w:tblCellMar>
    </w:tblPr>
  </w:style>
  <w:style w:type="table" w:styleId="Table21">
    <w:basedOn w:val="TableNormal"/>
    <w:tblPr>
      <w:tblStyleRowBandSize w:val="1"/>
      <w:tblStyleColBandSize w:val="1"/>
      <w:tblCellMar>
        <w:top w:w="100.0" w:type="dxa"/>
        <w:left w:w="70.0" w:type="dxa"/>
        <w:bottom w:w="100.0" w:type="dxa"/>
        <w:right w:w="70.0" w:type="dxa"/>
      </w:tblCellMar>
    </w:tblPr>
  </w:style>
  <w:style w:type="table" w:styleId="Table22">
    <w:basedOn w:val="TableNormal"/>
    <w:tblPr>
      <w:tblStyleRowBandSize w:val="1"/>
      <w:tblStyleColBandSize w:val="1"/>
      <w:tblCellMar>
        <w:top w:w="100.0" w:type="dxa"/>
        <w:left w:w="70.0" w:type="dxa"/>
        <w:bottom w:w="100.0" w:type="dxa"/>
        <w:right w:w="70.0" w:type="dxa"/>
      </w:tblCellMar>
    </w:tblPr>
  </w:style>
  <w:style w:type="table" w:styleId="Table23">
    <w:basedOn w:val="TableNormal"/>
    <w:tblPr>
      <w:tblStyleRowBandSize w:val="1"/>
      <w:tblStyleColBandSize w:val="1"/>
      <w:tblCellMar>
        <w:top w:w="100.0" w:type="dxa"/>
        <w:left w:w="70.0" w:type="dxa"/>
        <w:bottom w:w="100.0" w:type="dxa"/>
        <w:right w:w="70.0" w:type="dxa"/>
      </w:tblCellMar>
    </w:tblPr>
  </w:style>
  <w:style w:type="table" w:styleId="Table24">
    <w:basedOn w:val="TableNormal"/>
    <w:tblPr>
      <w:tblStyleRowBandSize w:val="1"/>
      <w:tblStyleColBandSize w:val="1"/>
      <w:tblCellMar>
        <w:top w:w="100.0" w:type="dxa"/>
        <w:left w:w="70.0" w:type="dxa"/>
        <w:bottom w:w="100.0" w:type="dxa"/>
        <w:right w:w="70.0" w:type="dxa"/>
      </w:tblCellMar>
    </w:tblPr>
  </w:style>
  <w:style w:type="table" w:styleId="Table25">
    <w:basedOn w:val="TableNormal"/>
    <w:tblPr>
      <w:tblStyleRowBandSize w:val="1"/>
      <w:tblStyleColBandSize w:val="1"/>
      <w:tblCellMar>
        <w:top w:w="100.0" w:type="dxa"/>
        <w:left w:w="70.0" w:type="dxa"/>
        <w:bottom w:w="100.0" w:type="dxa"/>
        <w:right w:w="70.0" w:type="dxa"/>
      </w:tblCellMar>
    </w:tblPr>
  </w:style>
  <w:style w:type="table" w:styleId="Table26">
    <w:basedOn w:val="TableNormal"/>
    <w:tblPr>
      <w:tblStyleRowBandSize w:val="1"/>
      <w:tblStyleColBandSize w:val="1"/>
      <w:tblCellMar>
        <w:top w:w="100.0" w:type="dxa"/>
        <w:left w:w="70.0" w:type="dxa"/>
        <w:bottom w:w="100.0" w:type="dxa"/>
        <w:right w:w="70.0" w:type="dxa"/>
      </w:tblCellMar>
    </w:tblPr>
  </w:style>
  <w:style w:type="table" w:styleId="Table27">
    <w:basedOn w:val="TableNormal"/>
    <w:tblPr>
      <w:tblStyleRowBandSize w:val="1"/>
      <w:tblStyleColBandSize w:val="1"/>
      <w:tblCellMar>
        <w:top w:w="100.0" w:type="dxa"/>
        <w:left w:w="70.0" w:type="dxa"/>
        <w:bottom w:w="100.0" w:type="dxa"/>
        <w:right w:w="70.0" w:type="dxa"/>
      </w:tblCellMar>
    </w:tblPr>
  </w:style>
  <w:style w:type="table" w:styleId="Table28">
    <w:basedOn w:val="TableNormal"/>
    <w:tblPr>
      <w:tblStyleRowBandSize w:val="1"/>
      <w:tblStyleColBandSize w:val="1"/>
      <w:tblCellMar>
        <w:top w:w="100.0" w:type="dxa"/>
        <w:left w:w="70.0" w:type="dxa"/>
        <w:bottom w:w="100.0" w:type="dxa"/>
        <w:right w:w="70.0" w:type="dxa"/>
      </w:tblCellMar>
    </w:tblPr>
  </w:style>
  <w:style w:type="table" w:styleId="Table29">
    <w:basedOn w:val="TableNormal"/>
    <w:tblPr>
      <w:tblStyleRowBandSize w:val="1"/>
      <w:tblStyleColBandSize w:val="1"/>
      <w:tblCellMar>
        <w:top w:w="100.0" w:type="dxa"/>
        <w:left w:w="70.0" w:type="dxa"/>
        <w:bottom w:w="100.0" w:type="dxa"/>
        <w:right w:w="70.0" w:type="dxa"/>
      </w:tblCellMar>
    </w:tblPr>
  </w:style>
  <w:style w:type="table" w:styleId="Table30">
    <w:basedOn w:val="TableNormal"/>
    <w:tblPr>
      <w:tblStyleRowBandSize w:val="1"/>
      <w:tblStyleColBandSize w:val="1"/>
      <w:tblCellMar>
        <w:top w:w="100.0" w:type="dxa"/>
        <w:left w:w="70.0" w:type="dxa"/>
        <w:bottom w:w="100.0" w:type="dxa"/>
        <w:right w:w="70.0" w:type="dxa"/>
      </w:tblCellMar>
    </w:tblPr>
  </w:style>
  <w:style w:type="table" w:styleId="Table31">
    <w:basedOn w:val="TableNormal"/>
    <w:tblPr>
      <w:tblStyleRowBandSize w:val="1"/>
      <w:tblStyleColBandSize w:val="1"/>
      <w:tblCellMar>
        <w:top w:w="100.0" w:type="dxa"/>
        <w:left w:w="70.0" w:type="dxa"/>
        <w:bottom w:w="100.0" w:type="dxa"/>
        <w:right w:w="70.0" w:type="dxa"/>
      </w:tblCellMar>
    </w:tblPr>
  </w:style>
  <w:style w:type="table" w:styleId="Table32">
    <w:basedOn w:val="TableNormal"/>
    <w:tblPr>
      <w:tblStyleRowBandSize w:val="1"/>
      <w:tblStyleColBandSize w:val="1"/>
      <w:tblCellMar>
        <w:top w:w="100.0" w:type="dxa"/>
        <w:left w:w="70.0" w:type="dxa"/>
        <w:bottom w:w="100.0" w:type="dxa"/>
        <w:right w:w="70.0" w:type="dxa"/>
      </w:tblCellMar>
    </w:tblPr>
  </w:style>
  <w:style w:type="table" w:styleId="Table33">
    <w:basedOn w:val="TableNormal"/>
    <w:tblPr>
      <w:tblStyleRowBandSize w:val="1"/>
      <w:tblStyleColBandSize w:val="1"/>
      <w:tblCellMar>
        <w:top w:w="100.0" w:type="dxa"/>
        <w:left w:w="70.0" w:type="dxa"/>
        <w:bottom w:w="100.0" w:type="dxa"/>
        <w:right w:w="70.0" w:type="dxa"/>
      </w:tblCellMar>
    </w:tblPr>
  </w:style>
  <w:style w:type="table" w:styleId="Table34">
    <w:basedOn w:val="TableNormal"/>
    <w:tblPr>
      <w:tblStyleRowBandSize w:val="1"/>
      <w:tblStyleColBandSize w:val="1"/>
      <w:tblCellMar>
        <w:top w:w="100.0" w:type="dxa"/>
        <w:left w:w="70.0" w:type="dxa"/>
        <w:bottom w:w="100.0" w:type="dxa"/>
        <w:right w:w="70.0" w:type="dxa"/>
      </w:tblCellMar>
    </w:tblPr>
  </w:style>
  <w:style w:type="table" w:styleId="Table35">
    <w:basedOn w:val="TableNormal"/>
    <w:tblPr>
      <w:tblStyleRowBandSize w:val="1"/>
      <w:tblStyleColBandSize w:val="1"/>
      <w:tblCellMar>
        <w:top w:w="100.0" w:type="dxa"/>
        <w:left w:w="70.0" w:type="dxa"/>
        <w:bottom w:w="100.0" w:type="dxa"/>
        <w:right w:w="70.0" w:type="dxa"/>
      </w:tblCellMar>
    </w:tblPr>
  </w:style>
  <w:style w:type="table" w:styleId="Table36">
    <w:basedOn w:val="TableNormal"/>
    <w:tblPr>
      <w:tblStyleRowBandSize w:val="1"/>
      <w:tblStyleColBandSize w:val="1"/>
      <w:tblCellMar>
        <w:top w:w="100.0" w:type="dxa"/>
        <w:left w:w="70.0" w:type="dxa"/>
        <w:bottom w:w="100.0" w:type="dxa"/>
        <w:right w:w="70.0" w:type="dxa"/>
      </w:tblCellMar>
    </w:tblPr>
  </w:style>
  <w:style w:type="table" w:styleId="Table37">
    <w:basedOn w:val="TableNormal"/>
    <w:tblPr>
      <w:tblStyleRowBandSize w:val="1"/>
      <w:tblStyleColBandSize w:val="1"/>
      <w:tblCellMar>
        <w:top w:w="100.0" w:type="dxa"/>
        <w:left w:w="70.0" w:type="dxa"/>
        <w:bottom w:w="100.0" w:type="dxa"/>
        <w:right w:w="70.0" w:type="dxa"/>
      </w:tblCellMar>
    </w:tblPr>
  </w:style>
  <w:style w:type="table" w:styleId="Table38">
    <w:basedOn w:val="TableNormal"/>
    <w:tblPr>
      <w:tblStyleRowBandSize w:val="1"/>
      <w:tblStyleColBandSize w:val="1"/>
      <w:tblCellMar>
        <w:top w:w="100.0" w:type="dxa"/>
        <w:left w:w="70.0" w:type="dxa"/>
        <w:bottom w:w="100.0" w:type="dxa"/>
        <w:right w:w="70.0" w:type="dxa"/>
      </w:tblCellMar>
    </w:tblPr>
  </w:style>
  <w:style w:type="table" w:styleId="Table39">
    <w:basedOn w:val="TableNormal"/>
    <w:tblPr>
      <w:tblStyleRowBandSize w:val="1"/>
      <w:tblStyleColBandSize w:val="1"/>
      <w:tblCellMar>
        <w:top w:w="100.0" w:type="dxa"/>
        <w:left w:w="70.0" w:type="dxa"/>
        <w:bottom w:w="100.0" w:type="dxa"/>
        <w:right w:w="70.0" w:type="dxa"/>
      </w:tblCellMar>
    </w:tblPr>
  </w:style>
  <w:style w:type="table" w:styleId="Table40">
    <w:basedOn w:val="TableNormal"/>
    <w:tblPr>
      <w:tblStyleRowBandSize w:val="1"/>
      <w:tblStyleColBandSize w:val="1"/>
      <w:tblCellMar>
        <w:top w:w="100.0" w:type="dxa"/>
        <w:left w:w="70.0" w:type="dxa"/>
        <w:bottom w:w="100.0" w:type="dxa"/>
        <w:right w:w="70.0" w:type="dxa"/>
      </w:tblCellMar>
    </w:tblPr>
  </w:style>
  <w:style w:type="table" w:styleId="Table41">
    <w:basedOn w:val="TableNormal"/>
    <w:tblPr>
      <w:tblStyleRowBandSize w:val="1"/>
      <w:tblStyleColBandSize w:val="1"/>
      <w:tblCellMar>
        <w:top w:w="100.0" w:type="dxa"/>
        <w:left w:w="70.0" w:type="dxa"/>
        <w:bottom w:w="100.0" w:type="dxa"/>
        <w:right w:w="70.0" w:type="dxa"/>
      </w:tblCellMar>
    </w:tblPr>
  </w:style>
  <w:style w:type="table" w:styleId="Table42">
    <w:basedOn w:val="TableNormal"/>
    <w:tblPr>
      <w:tblStyleRowBandSize w:val="1"/>
      <w:tblStyleColBandSize w:val="1"/>
      <w:tblCellMar>
        <w:top w:w="100.0" w:type="dxa"/>
        <w:left w:w="70.0" w:type="dxa"/>
        <w:bottom w:w="100.0" w:type="dxa"/>
        <w:right w:w="70.0" w:type="dxa"/>
      </w:tblCellMar>
    </w:tblPr>
  </w:style>
  <w:style w:type="table" w:styleId="Table43">
    <w:basedOn w:val="TableNormal"/>
    <w:tblPr>
      <w:tblStyleRowBandSize w:val="1"/>
      <w:tblStyleColBandSize w:val="1"/>
      <w:tblCellMar>
        <w:top w:w="100.0" w:type="dxa"/>
        <w:left w:w="70.0" w:type="dxa"/>
        <w:bottom w:w="100.0" w:type="dxa"/>
        <w:right w:w="70.0" w:type="dxa"/>
      </w:tblCellMar>
    </w:tblPr>
  </w:style>
  <w:style w:type="table" w:styleId="Table44">
    <w:basedOn w:val="TableNormal"/>
    <w:tblPr>
      <w:tblStyleRowBandSize w:val="1"/>
      <w:tblStyleColBandSize w:val="1"/>
      <w:tblCellMar>
        <w:top w:w="100.0" w:type="dxa"/>
        <w:left w:w="70.0" w:type="dxa"/>
        <w:bottom w:w="100.0" w:type="dxa"/>
        <w:right w:w="70.0" w:type="dxa"/>
      </w:tblCellMar>
    </w:tblPr>
  </w:style>
  <w:style w:type="table" w:styleId="Table45">
    <w:basedOn w:val="TableNormal"/>
    <w:tblPr>
      <w:tblStyleRowBandSize w:val="1"/>
      <w:tblStyleColBandSize w:val="1"/>
      <w:tblCellMar>
        <w:top w:w="100.0" w:type="dxa"/>
        <w:left w:w="70.0" w:type="dxa"/>
        <w:bottom w:w="100.0" w:type="dxa"/>
        <w:right w:w="70.0" w:type="dxa"/>
      </w:tblCellMar>
    </w:tblPr>
  </w:style>
  <w:style w:type="table" w:styleId="Table46">
    <w:basedOn w:val="TableNormal"/>
    <w:tblPr>
      <w:tblStyleRowBandSize w:val="1"/>
      <w:tblStyleColBandSize w:val="1"/>
      <w:tblCellMar>
        <w:top w:w="100.0" w:type="dxa"/>
        <w:left w:w="70.0" w:type="dxa"/>
        <w:bottom w:w="100.0" w:type="dxa"/>
        <w:right w:w="70.0" w:type="dxa"/>
      </w:tblCellMar>
    </w:tblPr>
  </w:style>
  <w:style w:type="table" w:styleId="Table47">
    <w:basedOn w:val="TableNormal"/>
    <w:tblPr>
      <w:tblStyleRowBandSize w:val="1"/>
      <w:tblStyleColBandSize w:val="1"/>
      <w:tblCellMar>
        <w:top w:w="100.0" w:type="dxa"/>
        <w:left w:w="70.0" w:type="dxa"/>
        <w:bottom w:w="100.0" w:type="dxa"/>
        <w:right w:w="70.0" w:type="dxa"/>
      </w:tblCellMar>
    </w:tblPr>
  </w:style>
  <w:style w:type="table" w:styleId="Table48">
    <w:basedOn w:val="TableNormal"/>
    <w:tblPr>
      <w:tblStyleRowBandSize w:val="1"/>
      <w:tblStyleColBandSize w:val="1"/>
      <w:tblCellMar>
        <w:top w:w="100.0" w:type="dxa"/>
        <w:left w:w="70.0" w:type="dxa"/>
        <w:bottom w:w="100.0" w:type="dxa"/>
        <w:right w:w="70.0" w:type="dxa"/>
      </w:tblCellMar>
    </w:tblPr>
  </w:style>
  <w:style w:type="table" w:styleId="Table49">
    <w:basedOn w:val="TableNormal"/>
    <w:tblPr>
      <w:tblStyleRowBandSize w:val="1"/>
      <w:tblStyleColBandSize w:val="1"/>
      <w:tblCellMar>
        <w:top w:w="100.0" w:type="dxa"/>
        <w:left w:w="70.0" w:type="dxa"/>
        <w:bottom w:w="100.0" w:type="dxa"/>
        <w:right w:w="70.0" w:type="dxa"/>
      </w:tblCellMar>
    </w:tblPr>
  </w:style>
  <w:style w:type="table" w:styleId="Table50">
    <w:basedOn w:val="TableNormal"/>
    <w:tblPr>
      <w:tblStyleRowBandSize w:val="1"/>
      <w:tblStyleColBandSize w:val="1"/>
      <w:tblCellMar>
        <w:top w:w="100.0" w:type="dxa"/>
        <w:left w:w="70.0" w:type="dxa"/>
        <w:bottom w:w="100.0" w:type="dxa"/>
        <w:right w:w="70.0" w:type="dxa"/>
      </w:tblCellMar>
    </w:tblPr>
  </w:style>
  <w:style w:type="table" w:styleId="Table51">
    <w:basedOn w:val="TableNormal"/>
    <w:tblPr>
      <w:tblStyleRowBandSize w:val="1"/>
      <w:tblStyleColBandSize w:val="1"/>
      <w:tblCellMar>
        <w:top w:w="100.0" w:type="dxa"/>
        <w:left w:w="70.0" w:type="dxa"/>
        <w:bottom w:w="100.0" w:type="dxa"/>
        <w:right w:w="70.0" w:type="dxa"/>
      </w:tblCellMar>
    </w:tblPr>
  </w:style>
  <w:style w:type="table" w:styleId="Table52">
    <w:basedOn w:val="TableNormal"/>
    <w:tblPr>
      <w:tblStyleRowBandSize w:val="1"/>
      <w:tblStyleColBandSize w:val="1"/>
      <w:tblCellMar>
        <w:top w:w="100.0" w:type="dxa"/>
        <w:left w:w="70.0" w:type="dxa"/>
        <w:bottom w:w="100.0" w:type="dxa"/>
        <w:right w:w="70.0" w:type="dxa"/>
      </w:tblCellMar>
    </w:tblPr>
  </w:style>
  <w:style w:type="table" w:styleId="Table53">
    <w:basedOn w:val="TableNormal"/>
    <w:tblPr>
      <w:tblStyleRowBandSize w:val="1"/>
      <w:tblStyleColBandSize w:val="1"/>
      <w:tblCellMar>
        <w:top w:w="100.0" w:type="dxa"/>
        <w:left w:w="70.0" w:type="dxa"/>
        <w:bottom w:w="100.0" w:type="dxa"/>
        <w:right w:w="70.0" w:type="dxa"/>
      </w:tblCellMar>
    </w:tblPr>
  </w:style>
  <w:style w:type="table" w:styleId="Table54">
    <w:basedOn w:val="TableNormal"/>
    <w:tblPr>
      <w:tblStyleRowBandSize w:val="1"/>
      <w:tblStyleColBandSize w:val="1"/>
      <w:tblCellMar>
        <w:top w:w="100.0" w:type="dxa"/>
        <w:left w:w="70.0" w:type="dxa"/>
        <w:bottom w:w="100.0" w:type="dxa"/>
        <w:right w:w="70.0" w:type="dxa"/>
      </w:tblCellMar>
    </w:tblPr>
  </w:style>
  <w:style w:type="table" w:styleId="Table55">
    <w:basedOn w:val="TableNormal"/>
    <w:tblPr>
      <w:tblStyleRowBandSize w:val="1"/>
      <w:tblStyleColBandSize w:val="1"/>
      <w:tblCellMar>
        <w:top w:w="100.0" w:type="dxa"/>
        <w:left w:w="70.0" w:type="dxa"/>
        <w:bottom w:w="10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regione.veneto.it/web/agricoltura-e-foreste/downloa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regione.veneto.it/web/programmi-comunitari/monitoraggio-vas-vinca#va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a1nMEWJtHP03enTTKkGnA7IqQ==">CgMxLjAyCWlkLmdqZGd4czIKaWQuMzBqMHpsbDIJaC4zMGowemxsMghoLmdqZGd4czgAajMKFHN1Z2dlc3QubWt1N2UxdmoydzVrEhttYXJpYWNlbGVzdGUucHJpb3JAYXZlcGEuaXRqMwoUc3VnZ2VzdC5nbmc4bGRsYXV0OWQSG21hcmlhY2VsZXN0ZS5wcmlvckBhdmVwYS5pdGojChRzdWdnZXN0LjYydDQxbmMwdXB4YxILTGF1cmEgQWdsaW9yITFmZ3NyNmVSTllkM1haa2c5R3l2X1NCaUl0WURkUGNo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2021-12-07T08:01:00Z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