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7200" w:firstLine="72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ALLEGATO A7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 FESR 2021-2027 DEL VENETO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Azione 1.3.11 Interventi a sostegno delle imprese culturali, creative e dell'audiovisivo - </w:t>
        <w:br w:type="textWrapping"/>
        <w:t xml:space="preserve">Sub A  - Consolidamento di imprese esistenti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ATTESTAZIONE CAPACITA’ FINANZIARIA (indici di bilancio)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sottoscritto: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3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9"/>
        <w:gridCol w:w="1182"/>
        <w:gridCol w:w="2409"/>
        <w:gridCol w:w="3261"/>
        <w:gridCol w:w="852"/>
        <w:tblGridChange w:id="0">
          <w:tblGrid>
            <w:gridCol w:w="2089"/>
            <w:gridCol w:w="1182"/>
            <w:gridCol w:w="2409"/>
            <w:gridCol w:w="3261"/>
            <w:gridCol w:w="852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gridSpan w:val="2"/>
            <w:shd w:fill="eaead5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Nome e cognome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nata/o il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nel Comune di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Prov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gridSpan w:val="2"/>
            <w:shd w:fill="eaead5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shd w:fill="eaead5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Comune di residenza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CAP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Via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n.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Prov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eaead5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titolare/legale rappresentante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dell’impresa: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91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5"/>
        <w:gridCol w:w="1831"/>
        <w:gridCol w:w="851"/>
        <w:gridCol w:w="1984"/>
        <w:gridCol w:w="1560"/>
        <w:gridCol w:w="850"/>
        <w:tblGridChange w:id="0">
          <w:tblGrid>
            <w:gridCol w:w="2715"/>
            <w:gridCol w:w="1831"/>
            <w:gridCol w:w="851"/>
            <w:gridCol w:w="1984"/>
            <w:gridCol w:w="1560"/>
            <w:gridCol w:w="850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gridSpan w:val="6"/>
            <w:shd w:fill="aac7c7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Anagrafica</w:t>
            </w:r>
          </w:p>
        </w:tc>
      </w:tr>
      <w:tr>
        <w:trPr>
          <w:cantSplit w:val="1"/>
          <w:trHeight w:val="246" w:hRule="atLeast"/>
          <w:tblHeader w:val="0"/>
        </w:trPr>
        <w:tc>
          <w:tcPr>
            <w:vMerge w:val="restart"/>
            <w:shd w:fill="aac7c7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51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Impresa o Associazione Professionale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Denominazione/Ragione sociale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giuridica</w:t>
            </w:r>
          </w:p>
        </w:tc>
        <w:tc>
          <w:tcPr>
            <w:gridSpan w:val="2"/>
            <w:shd w:fill="eaead5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vMerge w:val="continue"/>
            <w:shd w:fill="aac7c7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aead5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6" w:hRule="atLeast"/>
          <w:tblHeader w:val="0"/>
        </w:trPr>
        <w:tc>
          <w:tcPr>
            <w:vMerge w:val="restart"/>
            <w:shd w:fill="aac7c7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Sede legale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Comune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CAP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Via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n.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Prov-</w:t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vMerge w:val="continue"/>
            <w:shd w:fill="aac7c7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6" w:hRule="atLeast"/>
          <w:tblHeader w:val="0"/>
        </w:trPr>
        <w:tc>
          <w:tcPr>
            <w:vMerge w:val="restart"/>
            <w:shd w:fill="aac7c7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Codice fiscale</w:t>
            </w:r>
          </w:p>
        </w:tc>
        <w:tc>
          <w:tcPr>
            <w:gridSpan w:val="4"/>
            <w:shd w:fill="eaead5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Partita IVA</w:t>
            </w:r>
          </w:p>
        </w:tc>
      </w:tr>
      <w:tr>
        <w:trPr>
          <w:cantSplit w:val="1"/>
          <w:trHeight w:val="245" w:hRule="atLeast"/>
          <w:tblHeader w:val="0"/>
        </w:trPr>
        <w:tc>
          <w:tcPr>
            <w:vMerge w:val="continue"/>
            <w:shd w:fill="aac7c7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aead5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40" w:lineRule="auto"/>
        <w:ind w:left="0" w:right="618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CONSAPEVOLE delle responsabilità anche penali assunte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 caso di rilascio di dichiarazioni mendaci, formazione di atti falsi e loro uso, e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conseguente decadenza dai benefici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concessi sulla base di una dichiarazione non veritiera, ai sensi degli articoli 75 e 76 del decreto del Presidente della Repubblica 28 dicembre 2000, n. 445 (Testo unico delle disposizioni legislative e regolamentari in materia di documentazione amministrativa),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2" w:line="240" w:lineRule="auto"/>
        <w:ind w:left="0" w:right="67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92" w:line="240" w:lineRule="auto"/>
        <w:ind w:left="1" w:right="676" w:hanging="3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che l’impresa rappresentata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before="1" w:line="240" w:lineRule="auto"/>
        <w:ind w:left="1491" w:hanging="36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è tenuta al deposito del bilancio di esercizio presso la CCIAA di competenza, ai sensi dell’art. 2435 del codice civile;</w:t>
      </w:r>
    </w:p>
    <w:p w:rsidR="00000000" w:rsidDel="00000000" w:rsidP="00000000" w:rsidRDefault="00000000" w:rsidRPr="00000000" w14:paraId="00000050">
      <w:pPr>
        <w:spacing w:before="4" w:line="480" w:lineRule="auto"/>
        <w:ind w:left="0" w:right="6523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" w:line="240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in regime di contabilità ordinaria, ma non è soggetta all’obbligo di deposito del bilancio di esercizio presso la CCIAA di competenza;</w:t>
      </w:r>
    </w:p>
    <w:p w:rsidR="00000000" w:rsidDel="00000000" w:rsidP="00000000" w:rsidRDefault="00000000" w:rsidRPr="00000000" w14:paraId="00000052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spacing w:line="240" w:lineRule="auto"/>
        <w:ind w:left="861" w:right="623" w:hanging="36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che l’indice di copertura globale delle immobilizzazioni è maggiore o uguale a 0,8 ed è stato così determinato:</w:t>
      </w:r>
    </w:p>
    <w:p w:rsidR="00000000" w:rsidDel="00000000" w:rsidP="00000000" w:rsidRDefault="00000000" w:rsidRPr="00000000" w14:paraId="00000054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attraverso i dati riscontrabili nell’ultimo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bilancio approvato e depositato presso la CCIAA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di competenza :</w:t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spacing w:before="2" w:line="240" w:lineRule="auto"/>
        <w:ind w:left="1548" w:hanging="36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Totale Patrimonio Netto: €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spacing w:before="7" w:line="240" w:lineRule="auto"/>
        <w:ind w:left="1548" w:hanging="36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Totale Debiti a medio/lungo termine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: €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spacing w:before="7" w:line="240" w:lineRule="auto"/>
        <w:ind w:left="1548" w:hanging="36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Totale Immobilizzazioni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: €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99"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Tot. PN €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+ Tot. Debiti a m/l termine €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9"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Indice di copertura globale delle immobilizzazioni: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10"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Tot. Immobilizzazioni €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1" w:line="240" w:lineRule="auto"/>
        <w:ind w:left="0" w:firstLine="0"/>
        <w:rPr>
          <w:rFonts w:ascii="Times New Roman" w:cs="Times New Roman" w:eastAsia="Times New Roman" w:hAnsi="Times New Roman"/>
          <w:color w:val="00000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attraverso i dati riscontrabili nel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modello Unico 2022 (redditi 2021)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e nell’ultimo bilancio approvato disponibile: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before="5" w:line="240" w:lineRule="auto"/>
        <w:ind w:left="1548" w:hanging="36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Totale Patrimonio Netto: €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before="7" w:line="240" w:lineRule="auto"/>
        <w:ind w:left="1548" w:hanging="36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Totale Debiti a medio/lungo termine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: €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before="6" w:line="240" w:lineRule="auto"/>
        <w:ind w:left="1548" w:hanging="36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Totale Immobilizzazioni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: €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Tot. PN €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+ Tot. Debiti a m/l termine €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9"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Indice di copertura globale delle immobilizzazioni: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9"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Tot. Immobilizzazioni €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line="240" w:lineRule="auto"/>
        <w:ind w:left="861" w:hanging="36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che l’indice di liquidità primaria è maggiore o uguale a 0,8 ed è stato così determinato:</w:t>
      </w:r>
    </w:p>
    <w:p w:rsidR="00000000" w:rsidDel="00000000" w:rsidP="00000000" w:rsidRDefault="00000000" w:rsidRPr="00000000" w14:paraId="00000069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left="0" w:right="1347" w:firstLine="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attraverso i dati riscontrabili nell’ultimo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bilancio approvato e depositato presso la CCIAA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di competenza: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before="2" w:line="240" w:lineRule="auto"/>
        <w:ind w:left="1548" w:hanging="36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Totale crediti esigibili entro l’esercizio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: €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before="7" w:line="240" w:lineRule="auto"/>
        <w:ind w:left="1548" w:hanging="36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Totale disponibilità liquide: €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before="7" w:line="240" w:lineRule="auto"/>
        <w:ind w:left="1548" w:hanging="36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Totale passività correnti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: €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99"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Tot. Crediti esigibili entro l’esercizio €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+ Tot. Disponibilità liquide €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9"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Indice di liquidità primaria:</w:t>
        <w:tab/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10"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Tot. Passività correnti €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000000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attraverso i dati riscontrabili nel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modello Unico 2022 (redditi 2021)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e nell’ultimo bilancio approvato disponibile: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spacing w:before="6" w:line="240" w:lineRule="auto"/>
        <w:ind w:left="1548" w:hanging="36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Totale crediti esigibili entro l’esercizio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: €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36" w:line="240" w:lineRule="auto"/>
        <w:ind w:left="502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11"/>
          <w:szCs w:val="11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615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  <w:rtl w:val="0"/>
        </w:rPr>
        <w:t xml:space="preserve">Sono esclusi dal calcolo della voce “Debiti a medio/lungo termine” i debiti a breve termine.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17" w:line="240" w:lineRule="auto"/>
        <w:ind w:left="502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6"/>
          <w:szCs w:val="6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  <w:rtl w:val="0"/>
        </w:rPr>
        <w:t xml:space="preserve"> Sono da includere nella voce “Totale Immobilizzazioni” le immobilizzazioni immateriali, materiali e finanziarie.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left="502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11"/>
          <w:szCs w:val="11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left="615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  <w:rtl w:val="0"/>
        </w:rPr>
        <w:t xml:space="preserve">Sono da includere nella voce “totale crediti esigibili entro l’esercizio” tutti i crediti esigibili entro l’esercizio, la cui scadenza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1" w:line="240" w:lineRule="auto"/>
        <w:ind w:left="502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  <w:rtl w:val="0"/>
        </w:rPr>
        <w:t xml:space="preserve">breve termine è chiaramente evidenziata nel bilancio. Sono esclusi nel calcolo ratei e risconti attivi.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left="502" w:right="797" w:firstLine="0"/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6"/>
          <w:szCs w:val="6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  <w:rtl w:val="0"/>
        </w:rPr>
        <w:t xml:space="preserve"> Sono da includere nella voce “totale passività correnti” tutte le passività esigibili entro l’esercizio. Sono esclusi nel calcolo ratei e risconti passivi.</w:t>
      </w:r>
    </w:p>
    <w:p w:rsidR="00000000" w:rsidDel="00000000" w:rsidP="00000000" w:rsidRDefault="00000000" w:rsidRPr="00000000" w14:paraId="0000007E">
      <w:pPr>
        <w:spacing w:line="240" w:lineRule="auto"/>
        <w:ind w:left="502" w:right="797" w:firstLine="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ind w:left="0" w:right="797" w:firstLine="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Totale disponibilità liquide: €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7" w:line="240" w:lineRule="auto"/>
        <w:ind w:left="0" w:firstLine="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Totale passività correnti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: €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Tot. Crediti esigibili entro l’esercizio €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+ Tot. Disponibilità liquide €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9"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Indice di liquidità primaria:</w:t>
        <w:tab/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9"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Tot. Passività correnti €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40" w:line="240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1" w:line="240" w:lineRule="auto"/>
        <w:ind w:left="502" w:right="264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vertAlign w:val="baseline"/>
          <w:rtl w:val="0"/>
        </w:rPr>
        <w:t xml:space="preserve">L’attestazione della capacità finanziaria è valida qualora almeno uno dei due indici di bilancio a) e b)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vertAlign w:val="baseline"/>
          <w:rtl w:val="0"/>
        </w:rPr>
        <w:t xml:space="preserve">venga dichiarato (barrando l’apposita casella) dal richiedente.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br w:type="textWrapping"/>
        <w:br w:type="textWrapping"/>
        <w:br w:type="textWrapping"/>
        <w:t xml:space="preserve">DATA</w:t>
        <w:tab/>
        <w:t xml:space="preserve">FIRMA DIGITALE DEL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701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9851.0" w:type="dxa"/>
      <w:jc w:val="left"/>
      <w:tblInd w:w="-7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8575"/>
      <w:gridCol w:w="1276"/>
      <w:tblGridChange w:id="0">
        <w:tblGrid>
          <w:gridCol w:w="8575"/>
          <w:gridCol w:w="1276"/>
        </w:tblGrid>
      </w:tblGridChange>
    </w:tblGrid>
    <w:tr>
      <w:trPr>
        <w:cantSplit w:val="0"/>
        <w:trHeight w:val="1293" w:hRule="atLeast"/>
        <w:tblHeader w:val="0"/>
      </w:trPr>
      <w:tc>
        <w:tcPr/>
        <w:p w:rsidR="00000000" w:rsidDel="00000000" w:rsidP="00000000" w:rsidRDefault="00000000" w:rsidRPr="00000000" w14:paraId="0000008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  <w:sz w:val="32"/>
              <w:szCs w:val="3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32"/>
              <w:szCs w:val="32"/>
            </w:rPr>
            <w:drawing>
              <wp:inline distB="0" distT="0" distL="114300" distR="114300">
                <wp:extent cx="2295525" cy="284480"/>
                <wp:effectExtent b="0" l="0" r="0" t="0"/>
                <wp:docPr id="102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rPr>
              <w:rFonts w:ascii="Times New Roman" w:cs="Times New Roman" w:eastAsia="Times New Roman" w:hAnsi="Times New Roman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rPr>
              <w:rFonts w:ascii="Times New Roman" w:cs="Times New Roman" w:eastAsia="Times New Roman" w:hAnsi="Times New Roman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ALLEGATO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  Dgr n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32"/>
              <w:szCs w:val="32"/>
              <w:rtl w:val="0"/>
            </w:rPr>
            <w:t xml:space="preserve">.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2"/>
              <w:szCs w:val="32"/>
              <w:rtl w:val="0"/>
            </w:rPr>
            <w:t xml:space="preserve">339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32"/>
              <w:szCs w:val="32"/>
              <w:rtl w:val="0"/>
            </w:rPr>
            <w:t xml:space="preserve">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del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32"/>
              <w:szCs w:val="32"/>
              <w:rtl w:val="0"/>
            </w:rPr>
            <w:t xml:space="preserve">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2"/>
              <w:szCs w:val="32"/>
              <w:rtl w:val="0"/>
            </w:rPr>
            <w:t xml:space="preserve">29.03.2023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32"/>
              <w:szCs w:val="32"/>
              <w:rtl w:val="0"/>
            </w:rPr>
            <w:t xml:space="preserve">    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4"/>
      <w:tblW w:w="9778.0" w:type="dxa"/>
      <w:jc w:val="left"/>
      <w:tblInd w:w="-7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8150"/>
      <w:gridCol w:w="1628"/>
      <w:tblGridChange w:id="0">
        <w:tblGrid>
          <w:gridCol w:w="8150"/>
          <w:gridCol w:w="1628"/>
        </w:tblGrid>
      </w:tblGridChange>
    </w:tblGrid>
    <w:tr>
      <w:trPr>
        <w:cantSplit w:val="0"/>
        <w:trHeight w:val="584" w:hRule="atLeast"/>
        <w:tblHeader w:val="0"/>
      </w:trPr>
      <w:tc>
        <w:tcPr/>
        <w:p w:rsidR="00000000" w:rsidDel="00000000" w:rsidP="00000000" w:rsidRDefault="00000000" w:rsidRPr="00000000" w14:paraId="0000009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ALLEGATO  7  Dgr n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.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del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3"/>
      <w:numFmt w:val="low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-102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618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338" w:hanging="359.9999999999999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05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77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49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21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493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658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2"/>
      <w:numFmt w:val="low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</w:pPr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outlineLvl w:val="1"/>
    </w:pPr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2"/>
    </w:pPr>
    <w:rPr>
      <w:rFonts w:ascii="Cambria" w:cs="Times New Roman" w:hAnsi="Cambria"/>
      <w:b w:val="1"/>
      <w:bCs w:val="1"/>
      <w:sz w:val="26"/>
      <w:szCs w:val="26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jc w:val="both"/>
      <w:outlineLvl w:val="3"/>
    </w:pPr>
    <w:rPr>
      <w:rFonts w:ascii="Calibri" w:cs="Times New Roman" w:hAnsi="Calibri"/>
      <w:b w:val="1"/>
      <w:bCs w:val="1"/>
      <w:sz w:val="28"/>
      <w:szCs w:val="28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jc w:val="both"/>
      <w:outlineLvl w:val="4"/>
    </w:pPr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1Carattere" w:customStyle="1">
    <w:name w:val="Titolo 1 Carattere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Titolo2Carattere" w:customStyle="1">
    <w:name w:val="Titolo 2 Carattere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3Carattere" w:customStyle="1">
    <w:name w:val="Titolo 3 Carattere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itolo4Carattere" w:customStyle="1">
    <w:name w:val="Titolo 4 Carattere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5Carattere" w:customStyle="1">
    <w:name w:val="Titolo 5 Carattere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styleId="Corpodeltesto2Carattere" w:customStyle="1">
    <w:name w:val="Corpo del testo 2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styleId="Rientrocorpodeltesto2Carattere" w:customStyle="1">
    <w:name w:val="Rientro corpo del testo 2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pPr>
      <w:jc w:val="both"/>
    </w:pPr>
    <w:rPr>
      <w:rFonts w:cs="Times New Roman"/>
    </w:rPr>
  </w:style>
  <w:style w:type="character" w:styleId="CorpodeltestoCarattere" w:customStyle="1">
    <w:name w:val="Corpo del testo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styleId="Rientrocorpodeltesto3Carattere" w:customStyle="1">
    <w:name w:val="Rientro corpo del testo 3 Carattere"/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styleId="PidipaginaCarattere" w:customStyle="1">
    <w:name w:val="Piè di pagina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styleId="IntestazioneCarattere" w:customStyle="1">
    <w:name w:val="Intestazione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 w:val="1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apple-tab-span" w:customStyle="1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Paragrafoelenco">
    <w:name w:val="List Paragraph"/>
    <w:basedOn w:val="Normale"/>
    <w:uiPriority w:val="34"/>
    <w:qFormat w:val="1"/>
    <w:rsid w:val="0089638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TmzzWg+NCREOfPEO0O+08szrBA==">AMUW2mXzRFSyzxJgAXKGvcJdlcxJZmNmJ7GXhr1Ovs9UVVdGpxaNAdZy6fPFAhfus0ZMLsVaJuo9aql/nTYh341Xp22ypzIHXpbFZ0PJsmjpNojlocTaObjdtccYhkPtGrraO7jxoWYg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2023-03-17T09:30:00Z</dcterms:created>
  <dc:creator>maria-pastrello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