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7200" w:firstLine="72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ALLEGATO A7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 FESR 2021-2027 DEL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Azione 1.3.11 Interventi a sostegno delle imprese culturali, creative e dell'audiovisivo - </w:t>
        <w:br w:type="textWrapping"/>
        <w:t xml:space="preserve">Sub A  - Consolidamento di imprese esistenti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ATTESTAZIONE CAPACITA’ FINANZIARIA (indici di bilancio)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sottoscritto: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3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9"/>
        <w:gridCol w:w="1182"/>
        <w:gridCol w:w="2409"/>
        <w:gridCol w:w="3261"/>
        <w:gridCol w:w="852"/>
        <w:tblGridChange w:id="0">
          <w:tblGrid>
            <w:gridCol w:w="2089"/>
            <w:gridCol w:w="1182"/>
            <w:gridCol w:w="2409"/>
            <w:gridCol w:w="3261"/>
            <w:gridCol w:w="852"/>
          </w:tblGrid>
        </w:tblGridChange>
      </w:tblGrid>
      <w:tr>
        <w:trPr>
          <w:cantSplit w:val="0"/>
          <w:trHeight w:val="308" w:hRule="atLeast"/>
          <w:tblHeader w:val="0"/>
        </w:trPr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 e cognome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nata/o il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nel Comune di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eaead5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Comune di residenza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Via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eaead5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titolare/legale rappresentante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dell’impresa: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1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5"/>
        <w:gridCol w:w="1831"/>
        <w:gridCol w:w="851"/>
        <w:gridCol w:w="1984"/>
        <w:gridCol w:w="1560"/>
        <w:gridCol w:w="850"/>
        <w:tblGridChange w:id="0">
          <w:tblGrid>
            <w:gridCol w:w="2715"/>
            <w:gridCol w:w="1831"/>
            <w:gridCol w:w="851"/>
            <w:gridCol w:w="1984"/>
            <w:gridCol w:w="1560"/>
            <w:gridCol w:w="850"/>
          </w:tblGrid>
        </w:tblGridChange>
      </w:tblGrid>
      <w:tr>
        <w:trPr>
          <w:cantSplit w:val="0"/>
          <w:trHeight w:val="310" w:hRule="atLeast"/>
          <w:tblHeader w:val="0"/>
        </w:trPr>
        <w:tc>
          <w:tcPr>
            <w:gridSpan w:val="6"/>
            <w:shd w:fill="aac7c7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Anagrafica</w:t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vMerge w:val="restart"/>
            <w:shd w:fill="aac7c7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51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Impresa o Associazione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Denominazione/Ragione sociale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Forma giuridica</w:t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vMerge w:val="continue"/>
            <w:shd w:fill="aac7c7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aead5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vMerge w:val="restart"/>
            <w:shd w:fill="aac7c7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Sede legale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Comune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CAP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Via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Prov-</w:t>
            </w:r>
          </w:p>
        </w:tc>
      </w:tr>
      <w:tr>
        <w:trPr>
          <w:cantSplit w:val="1"/>
          <w:trHeight w:val="308" w:hRule="atLeast"/>
          <w:tblHeader w:val="0"/>
        </w:trPr>
        <w:tc>
          <w:tcPr>
            <w:vMerge w:val="continue"/>
            <w:shd w:fill="aac7c7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" w:hRule="atLeast"/>
          <w:tblHeader w:val="0"/>
        </w:trPr>
        <w:tc>
          <w:tcPr>
            <w:vMerge w:val="restart"/>
            <w:shd w:fill="aac7c7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Codice fiscale</w:t>
            </w:r>
          </w:p>
        </w:tc>
        <w:tc>
          <w:tcPr>
            <w:gridSpan w:val="4"/>
            <w:shd w:fill="eaead5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vMerge w:val="continue"/>
            <w:shd w:fill="aac7c7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0" w:lineRule="auto"/>
        <w:ind w:left="0" w:right="618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CONSAPEVOLE delle responsabilità anche penali assunte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caso di rilascio di dichiarazioni mendaci, formazione di atti falsi e loro uso, 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conseguente decadenza dai benefici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concessi sulla base di una dichiarazione non veritiera, ai sensi degli articoli 75 e 76 del decreto del Presidente della Repubblica 28 dicembre 2000, n. 445 (Testo unico delle disposizioni legislative e regolamentari in materia di documentazione amministrativa),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="240" w:lineRule="auto"/>
        <w:ind w:left="0" w:right="67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92" w:line="240" w:lineRule="auto"/>
        <w:ind w:left="1" w:right="676" w:hanging="3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che l’impresa rappresentata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before="1" w:line="240" w:lineRule="auto"/>
        <w:ind w:left="1491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è tenuta al deposito del bilancio di esercizio presso la CCIAA di competenza, ai sensi dell’art. 2435 del codice civile;</w:t>
      </w:r>
    </w:p>
    <w:p w:rsidR="00000000" w:rsidDel="00000000" w:rsidP="00000000" w:rsidRDefault="00000000" w:rsidRPr="00000000" w14:paraId="00000050">
      <w:pPr>
        <w:spacing w:before="4" w:line="480" w:lineRule="auto"/>
        <w:ind w:left="0" w:right="6523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in regime di contabilità ordinaria, ma non è soggetta all’obbligo di deposito del bilancio di esercizio presso la CCIAA di competenza;</w:t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line="240" w:lineRule="auto"/>
        <w:ind w:left="861" w:right="623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che l’indice di copertura globale delle immobilizzazioni è maggiore o uguale a 0,8 ed è stato così determinato:</w:t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attraverso i dati riscontrabili nell’ultimo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bilancio approvato e depositato presso la CCIAA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di competenza :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before="2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Patrimonio Netto: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before="7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Debiti a medio/lungo termine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before="7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Immobilizzazioni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9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PN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+ Tot. Debiti a m/l termine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Indice di copertura globale delle immobilizzazioni: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1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Immobilizzazioni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" w:line="240" w:lineRule="auto"/>
        <w:ind w:left="0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attraverso i dati riscontrabili nel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modello Unico 2022 (redditi 2021)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e nell’ultimo bilancio approvato disponibile: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before="5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Patrimonio Netto: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before="7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Debiti a medio/lungo termine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before="6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Immobilizzazioni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PN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+ Tot. Debiti a m/l termine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Indice di copertura globale delle immobilizzazioni: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Immobilizzazioni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line="240" w:lineRule="auto"/>
        <w:ind w:left="861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che l’indice di liquidità primaria è maggiore o uguale a 0,8 ed è stato così determinato:</w:t>
      </w:r>
    </w:p>
    <w:p w:rsidR="00000000" w:rsidDel="00000000" w:rsidP="00000000" w:rsidRDefault="00000000" w:rsidRPr="00000000" w14:paraId="00000069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0" w:right="1347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attraverso i dati riscontrabili nell’ultimo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bilancio approvato e depositato presso la CCIAA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di competenza: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before="2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crediti esigibili entro l’esercizio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before="7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disponibilità liquide: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before="7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passività correnti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9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Crediti esigibili entro l’esercizio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+ Tot. Disponibilità liquide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Indice di liquidità primaria:</w:t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Passività correnti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attraverso i dati riscontrabili nel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modello Unico 2022 (redditi 2021)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 e nell’ultimo bilancio approvato disponibile: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before="6" w:line="240" w:lineRule="auto"/>
        <w:ind w:left="1548" w:hanging="36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crediti esigibili entro l’esercizio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36" w:line="240" w:lineRule="auto"/>
        <w:ind w:left="50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Arial MT" w:cs="Arial MT" w:eastAsia="Arial MT" w:hAnsi="Arial MT"/>
          <w:color w:val="000000"/>
          <w:sz w:val="11"/>
          <w:szCs w:val="11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615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Sono esclusi dal calcolo della voce “Debiti a medio/lungo termine” i debiti a breve termine.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17" w:line="240" w:lineRule="auto"/>
        <w:ind w:left="50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6"/>
          <w:szCs w:val="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 Sono da includere nella voce “Totale Immobilizzazioni” le immobilizzazioni immateriali, materiali e finanziarie.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50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Arial MT" w:cs="Arial MT" w:eastAsia="Arial MT" w:hAnsi="Arial MT"/>
          <w:color w:val="000000"/>
          <w:sz w:val="11"/>
          <w:szCs w:val="11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615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Sono da includere nella voce “totale crediti esigibili entro l’esercizio” tutti i crediti esigibili entro l’esercizio, la cui scadenza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" w:line="240" w:lineRule="auto"/>
        <w:ind w:left="502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breve termine è chiaramente evidenziata nel bilancio. Sono esclusi nel calcolo ratei e risconti attivi.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502" w:right="797" w:firstLine="0"/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6"/>
          <w:szCs w:val="6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 Sono da includere nella voce “totale passività correnti” tutte le passività esigibili entro l’esercizio. Sono esclusi nel calcolo ratei e risconti passivi.</w:t>
      </w:r>
    </w:p>
    <w:p w:rsidR="00000000" w:rsidDel="00000000" w:rsidP="00000000" w:rsidRDefault="00000000" w:rsidRPr="00000000" w14:paraId="0000007E">
      <w:pPr>
        <w:spacing w:line="240" w:lineRule="auto"/>
        <w:ind w:left="502" w:right="797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0" w:right="797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disponibilità liquide: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7" w:line="240" w:lineRule="auto"/>
        <w:ind w:left="0" w:firstLine="0"/>
        <w:rPr>
          <w:rFonts w:ascii="Times New Roman" w:cs="Times New Roman" w:eastAsia="Times New Roman" w:hAnsi="Times New Roman"/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Totale passività correnti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: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Crediti esigibili entro l’esercizio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+ Tot. Disponibilità liquide 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Indice di liquidità primaria:</w:t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9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t xml:space="preserve">Tot. Passività correnti €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vertAlign w:val="baseline"/>
          <w:rtl w:val="0"/>
        </w:rPr>
        <w:t xml:space="preserve"> 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line="240" w:lineRule="auto"/>
        <w:ind w:left="0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1" w:line="240" w:lineRule="auto"/>
        <w:ind w:left="502" w:right="264" w:firstLine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vertAlign w:val="baseline"/>
          <w:rtl w:val="0"/>
        </w:rPr>
        <w:t xml:space="preserve">L’attestazione della capacità finanziaria è valida qualora almeno uno dei due indici di bilancio a) e b)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vertAlign w:val="baseline"/>
          <w:rtl w:val="0"/>
        </w:rPr>
        <w:t xml:space="preserve">venga dichiarato (barrando l’apposita casella) dal richiedente.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0" w:hanging="2"/>
        <w:jc w:val="center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baseline"/>
          <w:rtl w:val="0"/>
        </w:rPr>
        <w:br w:type="textWrapping"/>
        <w:br w:type="textWrapping"/>
        <w:br w:type="textWrapping"/>
        <w:t xml:space="preserve">DATA</w:t>
        <w:tab/>
        <w:t xml:space="preserve">FIRMA DIGITALE DEL LEGALE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851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575"/>
      <w:gridCol w:w="1276"/>
      <w:tblGridChange w:id="0">
        <w:tblGrid>
          <w:gridCol w:w="8575"/>
          <w:gridCol w:w="1276"/>
        </w:tblGrid>
      </w:tblGridChange>
    </w:tblGrid>
    <w:tr>
      <w:trPr>
        <w:cantSplit w:val="0"/>
        <w:trHeight w:val="1293" w:hRule="atLeast"/>
        <w:tblHeader w:val="0"/>
      </w:trPr>
      <w:tc>
        <w:tcPr/>
        <w:p w:rsidR="00000000" w:rsidDel="00000000" w:rsidP="00000000" w:rsidRDefault="00000000" w:rsidRPr="00000000" w14:paraId="0000008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 Dgr n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.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339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29.03.2023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32"/>
              <w:szCs w:val="32"/>
              <w:rtl w:val="0"/>
            </w:rPr>
            <w:t xml:space="preserve">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4"/>
      <w:tblW w:w="9778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150"/>
      <w:gridCol w:w="1628"/>
      <w:tblGridChange w:id="0">
        <w:tblGrid>
          <w:gridCol w:w="8150"/>
          <w:gridCol w:w="1628"/>
        </w:tblGrid>
      </w:tblGridChange>
    </w:tblGrid>
    <w:tr>
      <w:trPr>
        <w:cantSplit w:val="0"/>
        <w:trHeight w:val="584" w:hRule="atLeast"/>
        <w:tblHeader w:val="0"/>
      </w:trPr>
      <w:tc>
        <w:tcPr/>
        <w:p w:rsidR="00000000" w:rsidDel="00000000" w:rsidP="00000000" w:rsidRDefault="00000000" w:rsidRPr="00000000" w14:paraId="0000009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ALLEGATO  7  Dgr n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.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del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8"/>
              <w:szCs w:val="28"/>
              <w:rtl w:val="0"/>
            </w:rPr>
            <w:t xml:space="preserve">                 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9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3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-1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618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338" w:hanging="359.9999999999999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05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277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49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21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4938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5658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2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cs="Times New Roman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outlineLvl w:val="1"/>
    </w:pPr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rFonts w:ascii="Cambria" w:cs="Times New Roman" w:hAnsi="Cambria"/>
      <w:b w:val="1"/>
      <w:bCs w:val="1"/>
      <w:sz w:val="26"/>
      <w:szCs w:val="26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3"/>
    </w:pPr>
    <w:rPr>
      <w:rFonts w:ascii="Calibri" w:cs="Times New Roman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both"/>
      <w:outlineLvl w:val="4"/>
    </w:pPr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" w:customStyle="1">
    <w:name w:val="Corpo del testo"/>
    <w:basedOn w:val="Normale"/>
    <w:pPr>
      <w:jc w:val="both"/>
    </w:pPr>
    <w:rPr>
      <w:rFonts w:cs="Times New Roman"/>
    </w:rPr>
  </w:style>
  <w:style w:type="character" w:styleId="CorpodeltestoCarattere" w:customStyle="1">
    <w:name w:val="Corpo del testo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Paragrafoelenco">
    <w:name w:val="List Paragraph"/>
    <w:basedOn w:val="Normale"/>
    <w:uiPriority w:val="34"/>
    <w:qFormat w:val="1"/>
    <w:rsid w:val="0089638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TmzzWg+NCREOfPEO0O+08szrBA==">AMUW2mXzRFSyzxJgAXKGvcJdlcxJZmNmJ7GXhr1Ovs9UVVdGpxaNAdZy6fPFAhfus0ZMLsVaJuo9aql/nTYh341Xp22ypzIHXpbFZ0PJsmjpNojlocTaObjdtccYhkPtGrraO7jxoWYg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2023-03-17T09:30:00Z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9100.00000000000</vt:lpwstr>
  </property>
</Properties>
</file>