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Da allegare alla domanda per 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sz w:val="26"/>
          <w:szCs w:val="26"/>
          <w:rtl w:val="0"/>
        </w:rPr>
        <w:t xml:space="preserve">BANDO VALORIZZAZIONE SITI, ELEMENTI E BUONE PRATICHE UNESCO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Bando per la concessione di contributi destinati a iniziative di valorizzazione dei Siti posti sotto la tutela dell’Unesco ai sensi della Convenzione 1972 (WHL), degli Elementi immateriali e delle Buone Pratiche di salvaguardia riconosciuti dall’Unesco ai sensi della Convenzione 2003 (ICH) che interessano il Veneto.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DGR n.235 del 7.3.2023, Piano annuale degli interventi per la cultura 2023. LR n. 17/2019, art. 19.</w:t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Scheda del progetto</w:t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Ente che presenta il progetto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[L’intitolazione dell’Ente deve corrispondere a quella indicata nella domanda di contributo]</w:t>
            </w:r>
          </w:p>
        </w:tc>
      </w:tr>
    </w:tbl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Titolo del progetto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[Indicare un titolo che identifichi il progetto per il quale si richiede il contributo]</w:t>
            </w:r>
          </w:p>
        </w:tc>
      </w:tr>
    </w:tbl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Tipologia di attività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[barrare una o più caselle corrispondenti alla tipologie previste all’art. 4 lett. b) del Bando]</w:t>
            </w:r>
          </w:p>
        </w:tc>
      </w:tr>
    </w:tbl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59"/>
        <w:gridCol w:w="1269"/>
        <w:tblGridChange w:id="0">
          <w:tblGrid>
            <w:gridCol w:w="8359"/>
            <w:gridCol w:w="126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azioni ricognitive, studi e indagini funzionali, necessarie ad attività che richiedono una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progettazione tecnico scientifica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MS Gothic" w:cs="MS Gothic" w:eastAsia="MS Gothic" w:hAnsi="MS Gothic"/>
                <w:sz w:val="40"/>
                <w:szCs w:val="40"/>
                <w:highlight w:val="white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40"/>
                <w:szCs w:val="40"/>
                <w:highlight w:val="white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stesura e/o revisione/aggiornamento dei Piani di Gestione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MS Gothic" w:cs="MS Gothic" w:eastAsia="MS Gothic" w:hAnsi="MS Gothic"/>
                <w:sz w:val="40"/>
                <w:szCs w:val="40"/>
                <w:highlight w:val="white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40"/>
                <w:szCs w:val="40"/>
                <w:highlight w:val="white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pubblicazioni conoscitive, materiali promozionali e di comunicazione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MS Gothic" w:cs="MS Gothic" w:eastAsia="MS Gothic" w:hAnsi="MS Gothic"/>
                <w:sz w:val="40"/>
                <w:szCs w:val="40"/>
                <w:highlight w:val="white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40"/>
                <w:szCs w:val="40"/>
                <w:highlight w:val="white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eventi, attività performative, artistiche, musicali, letterarie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MS Gothic" w:cs="MS Gothic" w:eastAsia="MS Gothic" w:hAnsi="MS Gothic"/>
                <w:sz w:val="40"/>
                <w:szCs w:val="40"/>
                <w:highlight w:val="white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40"/>
                <w:szCs w:val="40"/>
                <w:highlight w:val="white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attività didattiche, laboratori e percorsi, iniziative di partecipazione e coinvolgimento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MS Gothic" w:cs="MS Gothic" w:eastAsia="MS Gothic" w:hAnsi="MS Gothic"/>
                <w:sz w:val="40"/>
                <w:szCs w:val="40"/>
                <w:highlight w:val="white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40"/>
                <w:szCs w:val="40"/>
                <w:highlight w:val="white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formazione per operatori del settore, amministratori, studenti e docenti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MS Gothic" w:cs="MS Gothic" w:eastAsia="MS Gothic" w:hAnsi="MS Gothic"/>
                <w:sz w:val="40"/>
                <w:szCs w:val="40"/>
                <w:highlight w:val="white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40"/>
                <w:szCs w:val="40"/>
                <w:highlight w:val="white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Descrizione del progetto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[Presentare sinteticamente le linee generali e IL cronoprogramma del progetto, con rendicontazione entro il 31.12 2023]</w:t>
            </w:r>
          </w:p>
        </w:tc>
      </w:tr>
    </w:tbl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Obiettivi del progetto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[Descrivere gli obiettivi che si intende raggiungere con la realizzazione del progetto]</w:t>
            </w:r>
          </w:p>
        </w:tc>
      </w:tr>
    </w:tbl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Modalità di realizzazione del progetto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[Indicare come si intende procedere concretamente per garantire il raggiungimento degli obiettivi]</w:t>
            </w:r>
          </w:p>
        </w:tc>
      </w:tr>
    </w:tbl>
    <w:p w:rsidR="00000000" w:rsidDel="00000000" w:rsidP="00000000" w:rsidRDefault="00000000" w:rsidRPr="00000000" w14:paraId="0000005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ind w:lef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Prospetto economico di progetto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[Indicare l’ammontare della spesa prevista per ciascuna delle voci di spesa di cui all’art. 8 del Bando]</w:t>
            </w:r>
          </w:p>
        </w:tc>
      </w:tr>
    </w:tbl>
    <w:p w:rsidR="00000000" w:rsidDel="00000000" w:rsidP="00000000" w:rsidRDefault="00000000" w:rsidRPr="00000000" w14:paraId="00000073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95"/>
        <w:gridCol w:w="1935"/>
        <w:tblGridChange w:id="0">
          <w:tblGrid>
            <w:gridCol w:w="7695"/>
            <w:gridCol w:w="193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spese relative a studi, indagini, progettazione, etc.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jc w:val="both"/>
              <w:rPr>
                <w:rFonts w:ascii="MS Gothic" w:cs="MS Gothic" w:eastAsia="MS Gothic" w:hAnsi="MS Gothic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spese per l’effettiva realizzazione delle attività previste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jc w:val="both"/>
              <w:rPr>
                <w:rFonts w:ascii="MS Gothic" w:cs="MS Gothic" w:eastAsia="MS Gothic" w:hAnsi="MS Gothic"/>
                <w:sz w:val="28"/>
                <w:szCs w:val="2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spese relative all’impiego di risorse materiali, strumentali e umane per quanto dedicate in via esclusiva al progetto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jc w:val="both"/>
              <w:rPr>
                <w:rFonts w:ascii="MS Gothic" w:cs="MS Gothic" w:eastAsia="MS Gothic" w:hAnsi="MS Gothic"/>
                <w:sz w:val="28"/>
                <w:szCs w:val="2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spese per l’IVA realmente e definitivamente sostenuta dall’attuatore, nonché per ogni altro tributo od onere fiscale, previdenziale o assicurativo, se previsto dalla legge, purché non recuperabili, e nella misura in cui rimangano effettivamente a carico del beneficiario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jc w:val="both"/>
              <w:rPr>
                <w:rFonts w:ascii="MS Gothic" w:cs="MS Gothic" w:eastAsia="MS Gothic" w:hAnsi="MS Gothic"/>
                <w:sz w:val="28"/>
                <w:szCs w:val="2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attività didattiche, laboratori e percorsi, iniziative di partecipazione e coinvolgimento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jc w:val="both"/>
              <w:rPr>
                <w:rFonts w:ascii="MS Gothic" w:cs="MS Gothic" w:eastAsia="MS Gothic" w:hAnsi="MS Gothic"/>
                <w:sz w:val="28"/>
                <w:szCs w:val="2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formazione per operatori del settore, amministratori, studenti e docenti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jc w:val="both"/>
              <w:rPr>
                <w:rFonts w:ascii="MS Gothic" w:cs="MS Gothic" w:eastAsia="MS Gothic" w:hAnsi="MS Gothic"/>
                <w:sz w:val="28"/>
                <w:szCs w:val="2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€</w:t>
            </w:r>
          </w:p>
        </w:tc>
      </w:tr>
      <w:tr>
        <w:trPr>
          <w:cantSplit w:val="0"/>
          <w:trHeight w:val="618.999999999999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1">
            <w:pPr>
              <w:jc w:val="righ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Totole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jc w:val="both"/>
              <w:rPr>
                <w:rFonts w:ascii="MS Gothic" w:cs="MS Gothic" w:eastAsia="MS Gothic" w:hAnsi="MS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28"/>
                <w:szCs w:val="28"/>
                <w:rtl w:val="0"/>
              </w:rPr>
              <w:t xml:space="preserve">€</w:t>
            </w:r>
          </w:p>
        </w:tc>
      </w:tr>
    </w:tbl>
    <w:p w:rsidR="00000000" w:rsidDel="00000000" w:rsidP="00000000" w:rsidRDefault="00000000" w:rsidRPr="00000000" w14:paraId="0000008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color w:val="444444"/>
          <w:sz w:val="22"/>
          <w:szCs w:val="22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360" w:lineRule="auto"/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701" w:top="1031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libri"/>
  <w:font w:name="MS Gothic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/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</w:rPr>
      <w:drawing>
        <wp:inline distB="0" distT="0" distL="114300" distR="114300">
          <wp:extent cx="2295525" cy="284480"/>
          <wp:effectExtent b="0" l="0" r="0" t="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tabs>
        <w:tab w:val="center" w:leader="none" w:pos="4819"/>
        <w:tab w:val="right" w:leader="none" w:pos="9638"/>
      </w:tabs>
      <w:rPr>
        <w:rFonts w:ascii="Calibri" w:cs="Calibri" w:eastAsia="Calibri" w:hAnsi="Calibri"/>
        <w:highlight w:val="cy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color w:val="444444"/>
        <w:sz w:val="22"/>
        <w:szCs w:val="22"/>
        <w:highlight w:val="cyan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</w:pPr>
    <w:rPr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  <w:jc w:val="both"/>
    </w:pPr>
    <w:rPr>
      <w:b w:val="1"/>
    </w:rPr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Times New Roman" w:cs="Times New Roman" w:eastAsia="Times New Roman" w:hAnsi="Times New Roman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</w:pPr>
    <w:rPr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  <w:jc w:val="both"/>
    </w:pPr>
    <w:rPr>
      <w:b w:val="1"/>
    </w:rPr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Times New Roman" w:cs="Times New Roman" w:eastAsia="Times New Roman" w:hAnsi="Times New Roman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uiPriority w:val="9"/>
    <w:qFormat w:val="1"/>
    <w:pPr>
      <w:keepNext w:val="1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pPr>
      <w:keepNext w:val="1"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pPr>
      <w:keepNext w:val="1"/>
      <w:jc w:val="center"/>
      <w:outlineLvl w:val="2"/>
    </w:pPr>
    <w:rPr>
      <w:b w:val="1"/>
      <w:bCs w:val="1"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pPr>
      <w:keepNext w:val="1"/>
      <w:jc w:val="both"/>
      <w:outlineLvl w:val="3"/>
    </w:pPr>
    <w:rPr>
      <w:b w:val="1"/>
      <w:bCs w:val="1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pPr>
      <w:keepNext w:val="1"/>
      <w:jc w:val="both"/>
      <w:outlineLvl w:val="4"/>
    </w:pPr>
    <w:rPr>
      <w:b w:val="1"/>
      <w:bCs w:val="1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912821"/>
    <w:pPr>
      <w:spacing w:after="60" w:before="240"/>
      <w:outlineLvl w:val="5"/>
    </w:pPr>
    <w:rPr>
      <w:rFonts w:ascii="Times New Roman" w:cs="Times New Roman" w:hAnsi="Times New Roman"/>
      <w:b w:val="1"/>
      <w:bCs w:val="1"/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9"/>
    <w:locked w:val="1"/>
    <w:rPr>
      <w:rFonts w:cs="Times New Roman" w:asciiTheme="majorHAnsi" w:eastAsiaTheme="majorEastAsia" w:hAnsiTheme="majorHAnsi"/>
      <w:b w:val="1"/>
      <w:bCs w:val="1"/>
      <w:kern w:val="32"/>
      <w:sz w:val="32"/>
      <w:szCs w:val="32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locked w:val="1"/>
    <w:rPr>
      <w:rFonts w:cs="Times New Roman" w:asciiTheme="majorHAnsi" w:eastAsiaTheme="majorEastAsia" w:hAnsiTheme="majorHAnsi"/>
      <w:b w:val="1"/>
      <w:bCs w:val="1"/>
      <w:i w:val="1"/>
      <w:iCs w:val="1"/>
      <w:sz w:val="28"/>
      <w:szCs w:val="28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locked w:val="1"/>
    <w:rPr>
      <w:rFonts w:cs="Times New Roman" w:asciiTheme="majorHAnsi" w:eastAsiaTheme="majorEastAsia" w:hAnsiTheme="majorHAnsi"/>
      <w:b w:val="1"/>
      <w:bCs w:val="1"/>
      <w:sz w:val="26"/>
      <w:szCs w:val="26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locked w:val="1"/>
    <w:rPr>
      <w:rFonts w:cs="Times New Roman" w:asciiTheme="minorHAnsi" w:eastAsiaTheme="minorEastAsia" w:hAnsiTheme="minorHAnsi"/>
      <w:b w:val="1"/>
      <w:bCs w:val="1"/>
      <w:sz w:val="28"/>
      <w:szCs w:val="28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locked w:val="1"/>
    <w:rPr>
      <w:rFonts w:cs="Times New Roman" w:asciiTheme="minorHAnsi" w:eastAsiaTheme="minorEastAsia" w:hAnsiTheme="minorHAnsi"/>
      <w:b w:val="1"/>
      <w:bCs w:val="1"/>
      <w:i w:val="1"/>
      <w:iCs w:val="1"/>
      <w:sz w:val="26"/>
      <w:szCs w:val="26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locked w:val="1"/>
    <w:rPr>
      <w:rFonts w:cs="Times New Roman" w:asciiTheme="minorHAnsi" w:eastAsiaTheme="minorEastAsia" w:hAnsiTheme="minorHAnsi"/>
      <w:b w:val="1"/>
      <w:bCs w:val="1"/>
    </w:rPr>
  </w:style>
  <w:style w:type="paragraph" w:styleId="Testofumetto">
    <w:name w:val="Balloon Text"/>
    <w:basedOn w:val="Normale"/>
    <w:link w:val="TestofumettoCarattere"/>
    <w:uiPriority w:val="99"/>
    <w:semiHidden w:val="1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locked w:val="1"/>
    <w:rPr>
      <w:rFonts w:ascii="Tahoma" w:cs="Tahoma" w:hAnsi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styleId="Corpodeltesto2Carattere" w:customStyle="1">
    <w:name w:val="Corpo del testo 2 Carattere"/>
    <w:basedOn w:val="Carpredefinitoparagrafo"/>
    <w:link w:val="Corpodeltesto2"/>
    <w:uiPriority w:val="99"/>
    <w:semiHidden w:val="1"/>
    <w:locked w:val="1"/>
    <w:rPr>
      <w:rFonts w:ascii="Arial" w:cs="Arial" w:hAnsi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cs="Bookman Old Style" w:hAnsi="Bookman Old Style"/>
    </w:rPr>
  </w:style>
  <w:style w:type="character" w:styleId="Rientrocorpodeltesto2Carattere" w:customStyle="1">
    <w:name w:val="Rientro corpo del testo 2 Carattere"/>
    <w:basedOn w:val="Carpredefinitoparagrafo"/>
    <w:link w:val="Rientrocorpodeltesto2"/>
    <w:uiPriority w:val="99"/>
    <w:semiHidden w:val="1"/>
    <w:locked w:val="1"/>
    <w:rPr>
      <w:rFonts w:ascii="Arial" w:cs="Arial" w:hAnsi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cs="Bookman Old Style" w:hAnsi="Bookman Old Style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locked w:val="1"/>
    <w:rPr>
      <w:rFonts w:ascii="Arial" w:cs="Arial" w:hAnsi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 w:val="1"/>
    <w:rPr>
      <w:rFonts w:ascii="Arial" w:cs="Arial" w:hAnsi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cs="Bookman Old Style" w:hAnsi="Bookman Old Style"/>
    </w:rPr>
  </w:style>
  <w:style w:type="character" w:styleId="Rientrocorpodeltesto3Carattere" w:customStyle="1">
    <w:name w:val="Rientro corpo del testo 3 Carattere"/>
    <w:basedOn w:val="Carpredefinitoparagrafo"/>
    <w:link w:val="Rientrocorpodeltesto3"/>
    <w:uiPriority w:val="99"/>
    <w:semiHidden w:val="1"/>
    <w:locked w:val="1"/>
    <w:rPr>
      <w:rFonts w:ascii="Arial" w:cs="Arial" w:hAnsi="Arial"/>
      <w:sz w:val="16"/>
      <w:szCs w:val="16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locked w:val="1"/>
    <w:rPr>
      <w:rFonts w:ascii="Arial" w:cs="Arial" w:hAnsi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912821"/>
    <w:pPr>
      <w:spacing w:after="120"/>
      <w:ind w:left="283"/>
    </w:pPr>
  </w:style>
  <w:style w:type="character" w:styleId="RientrocorpodeltestoCarattere" w:customStyle="1">
    <w:name w:val="Rientro corpo del testo Carattere"/>
    <w:basedOn w:val="Carpredefinitoparagrafo"/>
    <w:link w:val="Rientrocorpodeltesto"/>
    <w:uiPriority w:val="99"/>
    <w:semiHidden w:val="1"/>
    <w:locked w:val="1"/>
    <w:rPr>
      <w:rFonts w:ascii="Arial" w:cs="Arial" w:hAnsi="Arial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912821"/>
    <w:pPr>
      <w:spacing w:after="120"/>
    </w:pPr>
    <w:rPr>
      <w:sz w:val="16"/>
      <w:szCs w:val="16"/>
    </w:rPr>
  </w:style>
  <w:style w:type="character" w:styleId="Corpodeltesto3Carattere" w:customStyle="1">
    <w:name w:val="Corpo del testo 3 Carattere"/>
    <w:basedOn w:val="Carpredefinitoparagrafo"/>
    <w:link w:val="Corpodeltesto3"/>
    <w:uiPriority w:val="99"/>
    <w:semiHidden w:val="1"/>
    <w:locked w:val="1"/>
    <w:rPr>
      <w:rFonts w:ascii="Arial" w:cs="Arial" w:hAnsi="Arial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rsid w:val="00752E57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locked w:val="1"/>
    <w:rPr>
      <w:rFonts w:ascii="Arial" w:cs="Arial" w:hAnsi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rsid w:val="00752E57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2D2DA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basedOn w:val="Carpredefinitoparagrafo"/>
    <w:uiPriority w:val="99"/>
    <w:unhideWhenUsed w:val="1"/>
    <w:rsid w:val="00EE6E04"/>
    <w:rPr>
      <w:rFonts w:cs="Times New Roman"/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rsid w:val="00315F34"/>
    <w:rPr>
      <w:rFonts w:cs="Times New Roman"/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D40971"/>
    <w:rPr>
      <w:rFonts w:cs="Times New Roman"/>
      <w:color w:val="605e5c"/>
      <w:shd w:color="auto" w:fill="e1dfdd" w:val="clear"/>
    </w:rPr>
  </w:style>
  <w:style w:type="paragraph" w:styleId="NormaleWeb">
    <w:name w:val="Normal (Web)"/>
    <w:basedOn w:val="Normale"/>
    <w:uiPriority w:val="99"/>
    <w:unhideWhenUsed w:val="1"/>
    <w:rsid w:val="00B123EB"/>
    <w:pPr>
      <w:spacing w:after="100" w:afterAutospacing="1" w:before="100" w:beforeAutospacing="1"/>
    </w:pPr>
    <w:rPr>
      <w:rFonts w:ascii="Times New Roman" w:cs="Times New Roman" w:hAnsi="Times New Roman"/>
    </w:rPr>
  </w:style>
  <w:style w:type="paragraph" w:styleId="Paragrafoelenco">
    <w:name w:val="List Paragraph"/>
    <w:basedOn w:val="Normale"/>
    <w:uiPriority w:val="34"/>
    <w:qFormat w:val="1"/>
    <w:rsid w:val="003A2AEF"/>
    <w:pPr>
      <w:ind w:left="720"/>
      <w:contextualSpacing w:val="1"/>
    </w:p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numbering" w:styleId="Elencocorrente1" w:customStyle="1">
    <w:name w:val="Elenco corrente1"/>
    <w:uiPriority w:val="99"/>
    <w:rsid w:val="002B17AC"/>
    <w:pPr>
      <w:numPr>
        <w:numId w:val="9"/>
      </w:numPr>
    </w:pPr>
  </w:style>
  <w:style w:type="character" w:styleId="Testosegnaposto">
    <w:name w:val="Placeholder Text"/>
    <w:basedOn w:val="Carpredefinitoparagrafo"/>
    <w:uiPriority w:val="99"/>
    <w:semiHidden w:val="1"/>
    <w:rsid w:val="007168ED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dT8aVNMlpj0BzIQ6Qkle66vnFw==">AMUW2mWxRi0ceRsFay85GCl1SvBJC3Esgt0FJ1fM7BAnlh5s8YPavmUxAYdZC/Ba5N1iWRt1uJflsyyYjtHjU0UzIsXLLLSH4pEw3fIjtCXkMbw2/PSB5wk=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2022-08-17T08:50:00Z</dcterms:created>
  <dc:creator>giulio-negretto</dc:creator>
</cp:coreProperties>
</file>