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in formato pdf.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4"/>
          <w:szCs w:val="24"/>
          <w:rtl w:val="0"/>
        </w:rPr>
        <w:t xml:space="preserve">BANDO VALORIZZAZIONE SITI, ELEMENTI E BUONE PRATICHE UNESCO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Bando per la concessione di contributi destinati a iniziative di valorizzazione dei Siti posti sotto la tutela dell’Unesco ai sensi della Convenzione 1972 (WHL), degli Elementi immateriali e delle Buone Pratiche di salvaguardia riconosciuti dall’Unesco ai sensi della Convenzione 2003 (ICH) che interessano il Veneto.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DGR n.235 del 7.3.2023, Piano annuale degli interventi per la cultura 2023. LR n. 17/2019, art.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Piano finanziario del Progetto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Ente che presenta il progetto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[L’intitolazione dell’Ente deve corrispondere a quella indicata nella domanda di contributo]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 del progetto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[Indicare un titolo che identifichi il progetto per il quale si richiede il contributo]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4590"/>
        <w:tblGridChange w:id="0">
          <w:tblGrid>
            <w:gridCol w:w="4590"/>
            <w:gridCol w:w="45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Piano finanziario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COSTO GLOBALE (euro)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Eventuali finanziamenti e stanziamenti già previsti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(elencare)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Totale finanziamenti e stanziamenti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