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Da allegare in formato pdf. alla domanda per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Libre Franklin" w:cs="Libre Franklin" w:eastAsia="Libre Franklin" w:hAnsi="Libre Franklin"/>
          <w:b w:val="1"/>
          <w:sz w:val="28"/>
          <w:szCs w:val="28"/>
          <w:rtl w:val="0"/>
        </w:rPr>
        <w:t xml:space="preserve">BANDO SALVAGUARDIA BENI MOBILI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Bando per la concessione di contributi destinati a interventi di salvaguardia di beni mobili, di proprietà di Comuni con popolazione inferiore ai trentamila abitanti o di Enti religiosi, che abbiano particolare valore storico e artistico.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DGR n.235 del 7.3.2023, Piano annuale degli interventi per la cultura 2023. LR n. 17/2019, art. 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Modello di </w:t>
        <w:br w:type="textWrapping"/>
        <w:t xml:space="preserve">RELAZIONE TECNICA SUL BENE O COMPLESSO DI BENI INTERESSATI 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Ente richiedente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INTRODUZIONE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(informazioni di carattere generale sul contesto, eventuale fondo o raccolta storica di pertinenza dei beni, relazioni fra gli oggetti,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dei beni mobili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ciascun oggetto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dettagliare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 seguenti voci: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0774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774"/>
        <w:tblGridChange w:id="0">
          <w:tblGrid>
            <w:gridCol w:w="1077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a) definizione dell’oggetto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b) descrizione dell’oggetto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c) localizzazione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collocazione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attuale, luogo di conservazione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d) cronologia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specifica, se nota, con citazione delle fonti o comunque generica, il più possibile approssimata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e) attribuzione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artista, artefice e/o ambito culturale di produzione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f) caratteristiche del bene in relazione al suo contesto territoriale originario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g) materia e tecnica di esecuzione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h) misure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indicando le unità impiegate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i) stato di conservazione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oltre che in forma analitica ed estesa, anche indicando in sintesi un solo grado nella scala: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pessimo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cattivo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mediocre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discreto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□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buono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l) condizione giuridica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m) vincoli di tutela con indicazione atto/decreto di vincolo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n) provenienza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o) notizie storico critiche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41.73228346456693" w:right="0" w:hanging="141.73228346456693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p) fonti e documenti, bibliografia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"/>
        <w:gridCol w:w="10500"/>
        <w:tblGridChange w:id="0">
          <w:tblGrid>
            <w:gridCol w:w="285"/>
            <w:gridCol w:w="10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0" w:right="-17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documentazione fotografica completa, in buona risoluzione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right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eventuali elaborati grafici e multimediali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(qualora gli elaborati siano in formati diversi dal .pdf devono essere inviati, entro la scadenza del Bando, separatamente via mail all’indirizzo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u w:val="single"/>
                <w:rtl w:val="0"/>
              </w:rPr>
              <w:t xml:space="preserve">benieserviziculturali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i w:val="1"/>
                  <w:sz w:val="18"/>
                  <w:szCs w:val="18"/>
                  <w:u w:val="single"/>
                  <w:rtl w:val="0"/>
                </w:rPr>
                <w:t xml:space="preserve">@regione.veneto.it</w:t>
              </w:r>
            </w:hyperlink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, specificando in oggetto: “Domanda L.R. 17/2019, art. 17 – Salvaguardia Beni Mobili – Allegati multimediali alla relazione”)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25.0" w:type="dxa"/>
        <w:jc w:val="left"/>
        <w:tblInd w:w="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50"/>
        <w:gridCol w:w="6375"/>
        <w:tblGridChange w:id="0">
          <w:tblGrid>
            <w:gridCol w:w="4350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DATA E LUOGO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566.9291338582677" w:top="566.9291338582677" w:left="566.9291338582677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tabs>
        <w:tab w:val="center" w:leader="none" w:pos="4819"/>
        <w:tab w:val="right" w:leader="none" w:pos="9638"/>
      </w:tabs>
      <w:jc w:val="center"/>
      <w:rPr/>
    </w:pPr>
    <w:r w:rsidDel="00000000" w:rsidR="00000000" w:rsidRPr="00000000">
      <w:rPr/>
      <w:drawing>
        <wp:inline distB="0" distT="0" distL="114300" distR="114300">
          <wp:extent cx="2295525" cy="284480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tabs>
        <w:tab w:val="center" w:leader="none" w:pos="4819"/>
        <w:tab w:val="right" w:leader="none" w:pos="9638"/>
      </w:tabs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7485.0" w:type="dxa"/>
      <w:jc w:val="left"/>
      <w:tblInd w:w="945.0" w:type="dxa"/>
      <w:tblLayout w:type="fixed"/>
      <w:tblLook w:val="0000"/>
    </w:tblPr>
    <w:tblGrid>
      <w:gridCol w:w="7485"/>
      <w:tblGridChange w:id="0">
        <w:tblGrid>
          <w:gridCol w:w="7485"/>
        </w:tblGrid>
      </w:tblGridChange>
    </w:tblGrid>
    <w:tr>
      <w:trPr>
        <w:cantSplit w:val="0"/>
        <w:trHeight w:val="443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top"/>
        </w:tcPr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right="-143" w:leftChars="-1" w:rightChars="0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deltesto2Carattere">
    <w:name w:val="Corpo del testo 2 Carattere"/>
    <w:next w:val="Corpodeltesto2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suppressAutoHyphens w:val="1"/>
      <w:spacing w:line="1" w:lineRule="atLeast"/>
      <w:ind w:leftChars="-1" w:rightChars="0" w:firstLine="360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ientrocorpodeltesto3">
    <w:name w:val="Rientro corpo del testo 3"/>
    <w:basedOn w:val="Normale"/>
    <w:next w:val="Rientrocorpodeltesto3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Rientrocorpodeltesto3Carattere">
    <w:name w:val="Rientro corpo del testo 3 Carattere"/>
    <w:next w:val="Rientrocorpodeltesto3Carattere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apple-tab-span">
    <w:name w:val="apple-tab-span"/>
    <w:next w:val="apple-tab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mozioneculturale@regione.veneto.it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7YWyWo0vGM5qymnhph458jbHOQ==">AMUW2mWbNsqHS9bVHSD0vZ9OH/y/fF3qesiFJ+cTsYi5oGz+rmv63/nFrNhLQaPnNh910GZQcInW3mxWbPOcNDC2v71EZ1KtkfmQSzZLl3LNNvbZcQybDXU=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2022-06-20T12:10:00Z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Order">
    <vt:lpstr>11200.0000000000</vt:lpstr>
  </property>
</Properties>
</file>