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in formato pdf.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8"/>
          <w:szCs w:val="28"/>
          <w:rtl w:val="0"/>
        </w:rPr>
        <w:t xml:space="preserve">BANDO SALVAGUARDIA BENI MOBILI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DGR n. 235 del 7.3.2023, Piano annuale degli interventi per la cultura 2023. LR n. 17/2019, art. 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Piano finanziario del Progetto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Ente che presenta il progetto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[L’intitolazione dell’Ente deve corrispondere a quella indicata nella domanda di contributo]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Titolo del progetto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[Indicare un titolo che identifichi il progetto per il quale si richiede il contributo]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60"/>
        <w:gridCol w:w="2985"/>
        <w:gridCol w:w="1665"/>
        <w:tblGridChange w:id="0">
          <w:tblGrid>
            <w:gridCol w:w="4560"/>
            <w:gridCol w:w="2985"/>
            <w:gridCol w:w="1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Piano finanziario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USCITE (euro)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ENTRATE (euro)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1700.7874015748034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Contributo richiesto (euro):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Quota di cofinanziamento (euro):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autofinanziamento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finanziamento di: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