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FINANZIARIA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6" w:line="268" w:lineRule="auto"/>
        <w:ind w:left="142" w:right="3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di contributi a sostegno alle attività di istituzioni, enti e soggetti culturali per studi, ricerche e iniziative culturali. Anno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L.R. n. 17/2019, art. 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SCHEMA DI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BILANCIO PREVENTIVO DEL PROGETTO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1020"/>
        <w:gridCol w:w="3345"/>
        <w:gridCol w:w="1560"/>
        <w:tblGridChange w:id="0">
          <w:tblGrid>
            <w:gridCol w:w="4245"/>
            <w:gridCol w:w="1020"/>
            <w:gridCol w:w="3345"/>
            <w:gridCol w:w="1560"/>
          </w:tblGrid>
        </w:tblGridChange>
      </w:tblGrid>
      <w:tr>
        <w:trPr>
          <w:cantSplit w:val="0"/>
          <w:trHeight w:val="8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PREVISTE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ENTRATE PREVISTE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l’organizzazione delle attività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Finanziamento regionale richiesto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la realizzazione delle attività di studio e ricerca, comprese le spese di stampa di pubblicazioni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Contributi pubblici (specificare i soggetti)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Spese per l’affitto dei locali per le attività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Contributi privati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per il noleggio di attrezzature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Altr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per la comunicazione e diffusione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delle attività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Autofinanziamento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per il personale entro il limite massimo del 20% della spesa rendicontata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Spese generali (canoni di locazione sede, utenze, spese postali, spese di segreteria) entro il limite massimo del 10% della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spesa rendicontata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altro (specificare)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41.0" w:type="dxa"/>
        <w:jc w:val="left"/>
        <w:tblInd w:w="70.0" w:type="dxa"/>
        <w:tblLayout w:type="fixed"/>
        <w:tblLook w:val="0400"/>
      </w:tblPr>
      <w:tblGrid>
        <w:gridCol w:w="11261"/>
        <w:gridCol w:w="1880"/>
        <w:tblGridChange w:id="0">
          <w:tblGrid>
            <w:gridCol w:w="11261"/>
            <w:gridCol w:w="18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2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N.B.:  Il bilancio deve riportare lo stesso importo totale in entrata e in uscita (a pareggio) utilizzando la voce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4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“Autofinanziamento”  per indicare l'importo non coperto da altre entrate.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br w:type="textWrapping"/>
              <w:t xml:space="preserve">Il soggetto, pena inammissibilità dell’istanza, è tenuto a garantire, in sede di presentazione dell’istanza e di rendicontazione, il cofinanziamento, con fondi propri e/o altri fondi, del costo totale per almeno il 35% dell’importo. </w:t>
            </w:r>
          </w:p>
          <w:p w:rsidR="00000000" w:rsidDel="00000000" w:rsidP="00000000" w:rsidRDefault="00000000" w:rsidRPr="00000000" w14:paraId="00000045">
            <w:pPr>
              <w:widowControl w:val="1"/>
              <w:ind w:left="0" w:right="1052.0078740157492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ab/>
        <w:tab/>
        <w:t xml:space="preserve">      Timbro e firma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Luogo e data </w:t>
        <w:tab/>
        <w:tab/>
        <w:tab/>
        <w:t xml:space="preserve">Legale Rappresentante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ab/>
        <w:t xml:space="preserve">             __________________________</w:t>
        <w:tab/>
        <w:tab/>
        <w:tab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jc w:val="right"/>
      <w:rPr>
        <w:rFonts w:ascii="Arial" w:cs="Arial" w:eastAsia="Arial" w:hAnsi="Arial"/>
        <w:b w:val="1"/>
        <w:sz w:val="22"/>
        <w:szCs w:val="22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right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MODULO 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+txUR44DUBNJqWYCMBIJH/0m6Q==">AMUW2mWo6OBhrgLsy3x1QgwE31PNTUeDJVd1Nmt2KnfT/95ZacOrojlHehqzTQ0C54All7ER0yCr7P13xwqMvhewmg/J7Vi/8s0zBMFpI7U3hNcnZ/2QfMztmaROgLbABiRcUbhlisUD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