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Bando MAB - MUSEI ARCHIVI BIBLIOTECHE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Bando per l’assegnazione di contributi per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l raggiungimento o mant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enimento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dei livelli minimi di qualità e valorizzazione indicati nella DGR  1173/2020.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DGR n.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235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Piano annuale degli interventi per la cultura 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. LR n. 17/2019, artt. 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-24.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Scheda del progetto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Ente che presenta il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[L’intitolazione dell’Ente deve corrispondere a quella indicata nella domanda di contributo]</w:t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Denominazione dell’Istituto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la denominazione dell’Istituto]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un titolo che identifichi il progetto per il quale si richiede il contributo.]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269"/>
        <w:tblGridChange w:id="0">
          <w:tblGrid>
            <w:gridCol w:w="8359"/>
            <w:gridCol w:w="126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Requisiti interessati (LR n. 17/2019, art. 23; DGR n. 1173/2020)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[Contrassegnare 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 quadratino per selezionare uno dei tre Requisiti cui si riferisce il progetto.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E’ ammessa una sola scelta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Requisito c)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Accesso e fruizione del patrimonio culturale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ind w:left="718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MAB: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Segnaletica di base indicante la presenza dell’istituto e il suo orario di apertura.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Redazione e adozione di una carta dei servizi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ind w:left="718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MUSEI: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Presenza di strumenti essenziali di informazione e orientamento all’interno del museo o del sito museale (segnaletica informativa, direzionale e identificativa).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Presenza di strumenti informativi: sito web specifico o sezione all’interno dell’ente di appartenenza con informazioni essenziali e aggiornati sul museo, sui documenti istituzionali, sul patrimonio, sui servizi e sulle attività; presenza di materiale informativo sul museo, sul patrimonio, sui servizi e sul territorio; disponibilità di un catalogo e/o di una guida del museo; informazione sulla disponibilità di assistenza, strumenti e attività rivolte alle persone con disabilità.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Didascalie e pannelli informativi o schede mobili con informazioni chiare e leggibili.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Attività educative per diverse fasce di pubblico; visite guidate e percorsi tematici.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ind w:left="718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Presenza sul sito web dei principali contatti e di un indirizzo di posta elettronica; esistenza di una procedura di reclamo formalizzata con indicazione dei tempi di risposta e del referente.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ARCHIVI: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Regolamento per la consultazione e l’utilizzo dei servizi.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Assistenza alla consultazione e orientamento.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Registrazione degli accessi e delle richieste di consultazione.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Presenza di almeno una pagina web che offra informazioni sul servizio archivistico.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Disponibilità per il pubblico di strumenti di consultazione dei fondi archivistici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Realizzazione di almeno una attività di valorizzazione o promozione annuale (inventariazione, digitalizzazione, visite guidate, laboratori archivistici, studi e ricerche, pubblicazioni, attività formativa, convegni e seminari) dei fondi archivistici e dei servizi archivistici.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BIBLIOTECHE: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Regolamento per l’utilizzo dei servizi.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Assistenza alla consultazione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 orientamento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Presenza di almeno una pagina web che offra informazioni sul servizio.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Disponibilità per il pubblico di strumenti di consultazione del patrimonio documentario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ind w:left="709" w:hanging="36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Realizzazione di almeno una attività di valorizzazione o promozione annuale (digitalizzazione, visite guidate, laboratori, studi e ricerche, pubblicazioni, attività formativa, convegni e seminari) delle raccolte documentarie e dei servizi bibliotecari.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269"/>
        <w:tblGridChange w:id="0">
          <w:tblGrid>
            <w:gridCol w:w="8359"/>
            <w:gridCol w:w="1269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Requisito e)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Cura e gestione del Patrimonio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MAB: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Controllo microclimatico secondo gli standard vigenti degli ambienti destinati alla conservazione ed esposizione del patrimonio culturale.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Conservazione preventiva del patrimonio posseduto (restauro e digitalizzazione qualora necessario).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MUSEI: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Documento programmatico sulla politica di acquisizioni e implementazioni del patrimonio coerentemente con la missione dell’istituto esplicitata nel regolamento e/o nello statuto.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Registrazione progressiva e univoca in entrata del patrimonio o inventario patrimoniale; schede identificative delle opere in esposizione corredate da adeguata documentazione iconografica; registrazione in entrata e in uscita del patrimonio a diverso titolo presente nel museo e negli altri luoghi della cultura di pertinenza.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Selezione, ordinamento e presentazione dei beni sulla base di un progetto scientifico che evidenzi criteri e motivazioni delle scelte operate.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Documento programmatico in merito alla politica di esposizioni temporanee.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Attività di studio sulle proprie collezioni e sui siti, adeguatamente documentata.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Ordinamento e conservazione dei beni non esposti secondo criteri di funzionalità e di sicurezza.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ARCHIVI: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Rispetto del vincolo archivistico dei complessi archivistici conservati.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Condizionamento adeguato dei materiali archivistici.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Descrizione informatizzata, almeno sommaria, di tutti il patrimonio documentario secondo gli standard descrittivi vigenti.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Adozione del Manuale di gestione e del Piano di conservazione e selezione dei documenti (enti pubblici).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Rispetto delle prescrizioni del Codice dei BB.CC. e delle norme in materia di protezione dei dati personali e delle condizioni eventualmente fissate dai proprietari per i fondi ricevuti in dono o deposito, nel regolamentare l’accesso alla documentazione.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Sorveglianza durante la consultazione e regolamentazione degli accessi al deposito.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BIBLIOTECHE: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Descrizione informatizzata, almeno sommaria, di tutti i fondi secondo gli standard descrittivi vigenti.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Disponibilità di documenti adatti a diverse età e presenza di fondi e sezioni specifiche in relazione ai bisogni dell’utenza.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ind w:left="709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Per le biblioteche di pubblica lettura: costante ed equilibrato aggiornamento delle raccolte; per le biblioteche specialistiche: aggiornamento disciplinare specifico.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269"/>
        <w:tblGridChange w:id="0">
          <w:tblGrid>
            <w:gridCol w:w="8359"/>
            <w:gridCol w:w="1269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69">
            <w:pPr>
              <w:ind w:left="3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34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Requisito f)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Gratuità dei servizi</w:t>
            </w:r>
          </w:p>
          <w:p w:rsidR="00000000" w:rsidDel="00000000" w:rsidP="00000000" w:rsidRDefault="00000000" w:rsidRPr="00000000" w14:paraId="0000006B">
            <w:pPr>
              <w:ind w:left="34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6C">
            <w:pPr>
              <w:ind w:left="3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34" w:firstLine="0"/>
              <w:jc w:val="center"/>
              <w:rPr>
                <w:rFonts w:ascii="Calibri" w:cs="Calibri" w:eastAsia="Calibri" w:hAnsi="Calibri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ARCHIVI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18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Gratuità del servizio di consultazione, di orientamento e di consulenza per tutti gli utenti.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ind w:left="709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BIBLIOTECHE: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18" w:hanging="360"/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Gratuità del servizio di consultazione, di orientamento e consulenza e del prestito librario (con esclusione delle sole eventuali spese per servizi a domanda individuale, di trasporto e movimentazione) per tutti gli utenti.</w:t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Descrizione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[Presentare sinteticamente le linee generali e le tempistiche del progetto.]</w:t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Obiettivo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[Descrivere l’obiettivo che si intende raggiungere con il progetto rapportandolo al Requisito scelto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.]</w:t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realizzative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[Spiegare come si intende procedere concretamente per garantire il raggiungimento dell’obiettivo.]</w:t>
            </w:r>
          </w:p>
        </w:tc>
      </w:tr>
    </w:tbl>
    <w:p w:rsidR="00000000" w:rsidDel="00000000" w:rsidP="00000000" w:rsidRDefault="00000000" w:rsidRPr="00000000" w14:paraId="000000A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Calibri" w:cs="Calibri" w:eastAsia="Calibri" w:hAnsi="Calibri"/>
          <w:sz w:val="28"/>
          <w:szCs w:val="28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completare la valutazione del progetto si forniscono i seguenti elementi in riferimento al Bando: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Qualità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gli elementi che si ritiene qualifichino il progetto e lo rendono particolarmente significativo: contenuti, interesse generale e/o disciplinare, impatto sul territorio, ecc. Se il progetto lo prevede, si ricorra anche a numeri e stime.]</w:t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Professionalità coinvolte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il numero e le caratteristiche (titolo di studio; esperienza lavorativa; competenze disciplinari; ecc.)  delle professionalità utilizzate.]</w:t>
            </w:r>
          </w:p>
        </w:tc>
      </w:tr>
    </w:tbl>
    <w:p w:rsidR="00000000" w:rsidDel="00000000" w:rsidP="00000000" w:rsidRDefault="00000000" w:rsidRPr="00000000" w14:paraId="000000D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Urgenza o particolare necessità dell’intervento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gli elementi che possono giustificare l’urgenza o la necessità particolare del progetto presentato.]</w:t>
            </w:r>
          </w:p>
        </w:tc>
      </w:tr>
    </w:tbl>
    <w:p w:rsidR="00000000" w:rsidDel="00000000" w:rsidP="00000000" w:rsidRDefault="00000000" w:rsidRPr="00000000" w14:paraId="000000E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1411"/>
        <w:tblGridChange w:id="0">
          <w:tblGrid>
            <w:gridCol w:w="8217"/>
            <w:gridCol w:w="141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Trasversalità rispetto alle tipologie di istituto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[Se il progetto coinvolge istituti di diversa tipologia, cliccare sul quadratino corrispondente alla compresenza interessata.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E’ ammessa una sola scelta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0">
            <w:pPr>
              <w:shd w:fill="ffffff" w:val="clear"/>
              <w:rPr>
                <w:rFonts w:ascii="Calibri" w:cs="Calibri" w:eastAsia="Calibri" w:hAnsi="Calibri"/>
                <w:i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sz w:val="22"/>
                <w:szCs w:val="22"/>
                <w:highlight w:val="white"/>
                <w:rtl w:val="0"/>
              </w:rPr>
              <w:t xml:space="preserve">NB: Un progetto si può definire “trasversale” se mette concretamente in relazione almeno due tipologie di istituti culturali, ovvero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sz w:val="22"/>
                <w:szCs w:val="22"/>
                <w:rtl w:val="0"/>
              </w:rPr>
              <w:t xml:space="preserve"> deve avere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sz w:val="22"/>
                <w:szCs w:val="22"/>
                <w:u w:val="single"/>
                <w:rtl w:val="0"/>
              </w:rPr>
              <w:t xml:space="preserve">qualcosa che accomuni gli istituti nel merito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sz w:val="22"/>
                <w:szCs w:val="22"/>
                <w:rtl w:val="0"/>
              </w:rPr>
              <w:t xml:space="preserve">, e questo deve essere esplicitato nella Scheda del progetto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Musei, archivi e biblioteche insieme</w:t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oppure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Musei e archivi insieme</w:t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oppure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Musei e biblioteche insieme</w:t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oppure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Archivi e biblioteche insieme</w:t>
            </w:r>
          </w:p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color w:val="444444"/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03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highlight w:val="cy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444444"/>
        <w:sz w:val="22"/>
        <w:szCs w:val="22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cs="Noto Sans Symbols" w:eastAsia="Noto Sans Symbols" w:hAnsi="Noto Sans Symbols"/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09" w:hanging="357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12821"/>
    <w:pPr>
      <w:spacing w:after="60" w:before="240"/>
      <w:outlineLvl w:val="5"/>
    </w:pPr>
    <w:rPr>
      <w:rFonts w:ascii="Times New Roman" w:cs="Times New Roman" w:hAnsi="Times New Roman"/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 w:val="1"/>
    <w:locked w:val="1"/>
    <w:rPr>
      <w:rFonts w:ascii="Arial" w:cs="Arial" w:hAnsi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52E5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ascii="Arial" w:cs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40971"/>
    <w:rPr>
      <w:rFonts w:cs="Times New Roman"/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B123EB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3A2AEF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Elencocorrente1" w:customStyle="1">
    <w:name w:val="Elenco corrente1"/>
    <w:uiPriority w:val="99"/>
    <w:rsid w:val="002B17AC"/>
    <w:pPr>
      <w:numPr>
        <w:numId w:val="9"/>
      </w:numPr>
    </w:pPr>
  </w:style>
  <w:style w:type="character" w:styleId="Testosegnaposto">
    <w:name w:val="Placeholder Text"/>
    <w:basedOn w:val="Carpredefinitoparagrafo"/>
    <w:uiPriority w:val="99"/>
    <w:semiHidden w:val="1"/>
    <w:rsid w:val="007168ED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hBFbcm8mmGlvEoQQjq7IemOVbg==">AMUW2mWI2kJODQW85lJEJo2ufsP8IO0Ky5AmCR4B/iT3Y0sCICCWprjNdIooLAcBGSy7NdWWVZxqHz2sJ+FKoTcIDC+4hCRf7ORpNLO7dQna09rxga+2s3rJJ9xLNS4G9+RwWXkERY8faonHGC0cNxpFCmn6QdN7Zd9umFVQAHK5Oljd0Zq6yUM=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2022-08-17T08:50:00Z</dcterms:created>
  <dc:creator>giulio-negretto</dc:creator>
</cp:coreProperties>
</file>