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29C" w:rsidRDefault="00FE4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Regione del Veneto – Programma Operativo Complementare (POC) al POR FESR 2014-2020</w:t>
      </w:r>
    </w:p>
    <w:p w:rsidR="0091529C" w:rsidRDefault="0091529C">
      <w:pPr>
        <w:jc w:val="center"/>
        <w:rPr>
          <w:rFonts w:ascii="Times New Roman" w:hAnsi="Times New Roman" w:cs="Times New Roman"/>
          <w:b/>
        </w:rPr>
      </w:pPr>
    </w:p>
    <w:p w:rsidR="0091529C" w:rsidRDefault="00FE459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ALLEGATO C3</w:t>
      </w:r>
    </w:p>
    <w:p w:rsidR="0091529C" w:rsidRDefault="0091529C">
      <w:pPr>
        <w:rPr>
          <w:rFonts w:ascii="Times New Roman" w:hAnsi="Times New Roman" w:cs="Times New Roman"/>
          <w:b/>
          <w:sz w:val="36"/>
          <w:szCs w:val="36"/>
        </w:rPr>
      </w:pPr>
    </w:p>
    <w:p w:rsidR="0091529C" w:rsidRDefault="00FE4597">
      <w:pPr>
        <w:widowControl w:val="0"/>
        <w:ind w:left="1080"/>
        <w:jc w:val="center"/>
        <w:rPr>
          <w:rFonts w:ascii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b/>
        </w:rPr>
        <w:t>“Bando per l’erogazione di contributi per investimenti innovativi nel settore ricettivo turistico - Strategia d'Area dell’Area Unione Montana Agordina”</w:t>
      </w:r>
    </w:p>
    <w:p w:rsidR="0091529C" w:rsidRDefault="0091529C">
      <w:pPr>
        <w:jc w:val="center"/>
        <w:rPr>
          <w:rFonts w:ascii="Times New Roman" w:hAnsi="Times New Roman" w:cs="Times New Roman"/>
          <w:b/>
        </w:rPr>
      </w:pPr>
    </w:p>
    <w:p w:rsidR="0091529C" w:rsidRDefault="009152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529C" w:rsidRDefault="009152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529C" w:rsidRDefault="009152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529C" w:rsidRDefault="00FE4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ATTESTAZIONE CAPACITA’ FINANZIARIA (indici di bilancio)</w:t>
      </w:r>
    </w:p>
    <w:p w:rsidR="0091529C" w:rsidRDefault="00915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29C" w:rsidRDefault="00915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29C" w:rsidRDefault="00FE4597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sottoscritto:</w:t>
      </w:r>
    </w:p>
    <w:tbl>
      <w:tblPr>
        <w:tblStyle w:val="a"/>
        <w:tblW w:w="105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95"/>
        <w:gridCol w:w="1057"/>
        <w:gridCol w:w="1599"/>
        <w:gridCol w:w="1651"/>
        <w:gridCol w:w="1839"/>
        <w:gridCol w:w="1259"/>
      </w:tblGrid>
      <w:tr w:rsidR="0091529C">
        <w:trPr>
          <w:trHeight w:val="283"/>
        </w:trPr>
        <w:tc>
          <w:tcPr>
            <w:tcW w:w="4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Nome e cognome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nata/o il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nel Comune di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Prov</w:t>
            </w:r>
            <w:proofErr w:type="spellEnd"/>
          </w:p>
        </w:tc>
      </w:tr>
      <w:tr w:rsidR="0091529C">
        <w:trPr>
          <w:trHeight w:val="397"/>
        </w:trPr>
        <w:tc>
          <w:tcPr>
            <w:tcW w:w="4152" w:type="dxa"/>
            <w:gridSpan w:val="2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529C">
        <w:trPr>
          <w:trHeight w:val="283"/>
        </w:trPr>
        <w:tc>
          <w:tcPr>
            <w:tcW w:w="3095" w:type="dxa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Comune di residenza</w:t>
            </w:r>
          </w:p>
        </w:tc>
        <w:tc>
          <w:tcPr>
            <w:tcW w:w="10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CAP</w:t>
            </w:r>
          </w:p>
        </w:tc>
        <w:tc>
          <w:tcPr>
            <w:tcW w:w="325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Via</w:t>
            </w:r>
          </w:p>
        </w:tc>
        <w:tc>
          <w:tcPr>
            <w:tcW w:w="18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n.</w:t>
            </w:r>
          </w:p>
        </w:tc>
        <w:tc>
          <w:tcPr>
            <w:tcW w:w="12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Prov</w:t>
            </w:r>
            <w:proofErr w:type="spellEnd"/>
          </w:p>
        </w:tc>
      </w:tr>
      <w:tr w:rsidR="0091529C">
        <w:trPr>
          <w:trHeight w:val="397"/>
        </w:trPr>
        <w:tc>
          <w:tcPr>
            <w:tcW w:w="3095" w:type="dxa"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4" w:space="0" w:color="000000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1529C" w:rsidRDefault="0091529C">
      <w:pPr>
        <w:rPr>
          <w:rFonts w:ascii="Times New Roman" w:hAnsi="Times New Roman" w:cs="Times New Roman"/>
        </w:rPr>
      </w:pPr>
    </w:p>
    <w:p w:rsidR="0091529C" w:rsidRDefault="00FE4597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qualità di </w:t>
      </w:r>
      <w:r>
        <w:rPr>
          <w:rFonts w:ascii="Times New Roman" w:hAnsi="Times New Roman" w:cs="Times New Roman"/>
          <w:b/>
          <w:sz w:val="22"/>
          <w:szCs w:val="22"/>
        </w:rPr>
        <w:t>titolare/legale rappresentante</w:t>
      </w:r>
      <w:r>
        <w:rPr>
          <w:rFonts w:ascii="Times New Roman" w:hAnsi="Times New Roman" w:cs="Times New Roman"/>
          <w:sz w:val="22"/>
          <w:szCs w:val="22"/>
        </w:rPr>
        <w:t xml:space="preserve"> dell’impresa:</w:t>
      </w:r>
    </w:p>
    <w:tbl>
      <w:tblPr>
        <w:tblStyle w:val="a0"/>
        <w:tblW w:w="106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01"/>
        <w:gridCol w:w="2922"/>
        <w:gridCol w:w="1275"/>
        <w:gridCol w:w="2269"/>
        <w:gridCol w:w="942"/>
        <w:gridCol w:w="528"/>
        <w:gridCol w:w="798"/>
      </w:tblGrid>
      <w:tr w:rsidR="0091529C">
        <w:trPr>
          <w:trHeight w:val="397"/>
        </w:trPr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4" w:space="0" w:color="000000"/>
            </w:tcBorders>
            <w:shd w:val="clear" w:color="auto" w:fill="AAC8C8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Anagrafica </w:t>
            </w:r>
          </w:p>
        </w:tc>
      </w:tr>
      <w:tr w:rsidR="0091529C">
        <w:trPr>
          <w:trHeight w:val="283"/>
        </w:trPr>
        <w:tc>
          <w:tcPr>
            <w:tcW w:w="1901" w:type="dxa"/>
            <w:vMerge w:val="restart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Impresa o Associazione Professionale </w:t>
            </w:r>
          </w:p>
        </w:tc>
        <w:tc>
          <w:tcPr>
            <w:tcW w:w="419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Denominazione/Ragione sociale </w:t>
            </w:r>
          </w:p>
        </w:tc>
        <w:tc>
          <w:tcPr>
            <w:tcW w:w="22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1529C">
        <w:trPr>
          <w:trHeight w:val="397"/>
        </w:trPr>
        <w:tc>
          <w:tcPr>
            <w:tcW w:w="1901" w:type="dxa"/>
            <w:vMerge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:rsidR="0091529C" w:rsidRDefault="0091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9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529C">
        <w:tc>
          <w:tcPr>
            <w:tcW w:w="1901" w:type="dxa"/>
            <w:vMerge w:val="restart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21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91529C">
        <w:trPr>
          <w:trHeight w:val="397"/>
        </w:trPr>
        <w:tc>
          <w:tcPr>
            <w:tcW w:w="1901" w:type="dxa"/>
            <w:vMerge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:rsidR="0091529C" w:rsidRDefault="0091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529C">
        <w:trPr>
          <w:trHeight w:val="283"/>
        </w:trPr>
        <w:tc>
          <w:tcPr>
            <w:tcW w:w="1901" w:type="dxa"/>
            <w:vMerge w:val="restart"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18" w:space="0" w:color="FFFFFF"/>
            </w:tcBorders>
            <w:shd w:val="clear" w:color="auto" w:fill="AAC8C8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Dati 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812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</w:tcPr>
          <w:p w:rsidR="0091529C" w:rsidRDefault="00FE4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91529C">
        <w:trPr>
          <w:trHeight w:val="262"/>
        </w:trPr>
        <w:tc>
          <w:tcPr>
            <w:tcW w:w="1901" w:type="dxa"/>
            <w:vMerge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18" w:space="0" w:color="FFFFFF"/>
            </w:tcBorders>
            <w:shd w:val="clear" w:color="auto" w:fill="AAC8C8"/>
          </w:tcPr>
          <w:p w:rsidR="0091529C" w:rsidRDefault="0091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5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4" w:space="0" w:color="000000"/>
            </w:tcBorders>
            <w:shd w:val="clear" w:color="auto" w:fill="EAEAD5"/>
            <w:vAlign w:val="center"/>
          </w:tcPr>
          <w:p w:rsidR="0091529C" w:rsidRDefault="0091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59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91529C" w:rsidRDefault="009152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29C" w:rsidRDefault="00FE45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CONSAPEVOLE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delle responsabilità anche penali assunte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in caso di rilascio di dichiarazioni mendaci, formazione di atti falsi e loro uso, e della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conseguente decadenza dai benefici </w:t>
      </w:r>
      <w:r>
        <w:rPr>
          <w:rFonts w:ascii="Times New Roman" w:hAnsi="Times New Roman" w:cs="Times New Roman"/>
          <w:color w:val="000000"/>
          <w:sz w:val="22"/>
          <w:szCs w:val="22"/>
        </w:rPr>
        <w:t>concessi sulla base di una dichiarazione non veritiera, ai sensi degli articoli 75 e 76 del decreto del Presidente della Repubbli</w:t>
      </w:r>
      <w:r>
        <w:rPr>
          <w:rFonts w:ascii="Times New Roman" w:hAnsi="Times New Roman" w:cs="Times New Roman"/>
          <w:color w:val="000000"/>
          <w:sz w:val="22"/>
          <w:szCs w:val="22"/>
        </w:rPr>
        <w:t>ca 28 dicembre 2000, n. 445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Testo unico delle disposizioni legislative e regolamentari in materia di documentazione amministrativa</w:t>
      </w:r>
      <w:r>
        <w:rPr>
          <w:rFonts w:ascii="Times New Roman" w:hAnsi="Times New Roman" w:cs="Times New Roman"/>
          <w:color w:val="000000"/>
          <w:sz w:val="22"/>
          <w:szCs w:val="22"/>
        </w:rPr>
        <w:t>),</w:t>
      </w:r>
    </w:p>
    <w:p w:rsidR="0091529C" w:rsidRDefault="00FE4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heading=h.30j0zll" w:colFirst="0" w:colLast="0"/>
      <w:bookmarkEnd w:id="2"/>
      <w:r>
        <w:rPr>
          <w:rFonts w:ascii="Times New Roman" w:hAnsi="Times New Roman" w:cs="Times New Roman"/>
          <w:b/>
          <w:sz w:val="32"/>
          <w:szCs w:val="32"/>
        </w:rPr>
        <w:t>DICHIARA</w:t>
      </w:r>
    </w:p>
    <w:p w:rsidR="0091529C" w:rsidRDefault="0091529C">
      <w:pPr>
        <w:rPr>
          <w:rFonts w:ascii="Times New Roman" w:hAnsi="Times New Roman" w:cs="Times New Roman"/>
          <w:b/>
          <w:i/>
          <w:sz w:val="22"/>
          <w:szCs w:val="22"/>
        </w:rPr>
      </w:pPr>
    </w:p>
    <w:p w:rsidR="0091529C" w:rsidRDefault="0091529C">
      <w:pPr>
        <w:rPr>
          <w:rFonts w:ascii="Times New Roman" w:hAnsi="Times New Roman" w:cs="Times New Roman"/>
          <w:b/>
          <w:i/>
          <w:sz w:val="22"/>
          <w:szCs w:val="22"/>
        </w:rPr>
      </w:pPr>
    </w:p>
    <w:p w:rsidR="0091529C" w:rsidRDefault="00FE45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l’impresa rappresentata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p w:rsidR="0091529C" w:rsidRDefault="00FE4597">
      <w:pPr>
        <w:ind w:left="993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Times New Roman" w:hAnsi="Times New Roman" w:cs="Times New Roman"/>
          <w:sz w:val="22"/>
          <w:szCs w:val="22"/>
        </w:rPr>
        <w:t xml:space="preserve"> è tenuta al deposito del bilancio di esercizio presso la CCIAA di competenza, ai sensi dell’art.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2435 del </w:t>
      </w:r>
      <w:r>
        <w:rPr>
          <w:rFonts w:ascii="Times New Roman" w:hAnsi="Times New Roman" w:cs="Times New Roman"/>
          <w:sz w:val="22"/>
          <w:szCs w:val="22"/>
        </w:rPr>
        <w:t>codice civile;</w:t>
      </w:r>
    </w:p>
    <w:p w:rsidR="0091529C" w:rsidRDefault="0091529C">
      <w:pPr>
        <w:ind w:left="709"/>
        <w:rPr>
          <w:rFonts w:ascii="Times New Roman" w:hAnsi="Times New Roman" w:cs="Times New Roman"/>
          <w:sz w:val="22"/>
          <w:szCs w:val="22"/>
        </w:rPr>
      </w:pPr>
    </w:p>
    <w:p w:rsidR="0091529C" w:rsidRDefault="00FE4597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oppure </w:t>
      </w:r>
    </w:p>
    <w:p w:rsidR="0091529C" w:rsidRDefault="0091529C">
      <w:pPr>
        <w:ind w:left="709"/>
        <w:rPr>
          <w:rFonts w:ascii="Times New Roman" w:hAnsi="Times New Roman" w:cs="Times New Roman"/>
          <w:sz w:val="22"/>
          <w:szCs w:val="22"/>
        </w:rPr>
      </w:pPr>
    </w:p>
    <w:p w:rsidR="0091529C" w:rsidRDefault="00FE4597">
      <w:pPr>
        <w:ind w:left="993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>è in regime di contabilità ordinaria, ma non è soggetta all’obbligo di deposito del bilancio di esercizio presso la CCIAA</w:t>
      </w:r>
      <w:r>
        <w:rPr>
          <w:rFonts w:ascii="Times New Roman" w:hAnsi="Times New Roman" w:cs="Times New Roman"/>
          <w:sz w:val="22"/>
          <w:szCs w:val="22"/>
        </w:rPr>
        <w:t xml:space="preserve"> di competenza;</w:t>
      </w:r>
    </w:p>
    <w:p w:rsidR="0091529C" w:rsidRDefault="0091529C">
      <w:pPr>
        <w:rPr>
          <w:rFonts w:ascii="Times New Roman" w:hAnsi="Times New Roman" w:cs="Times New Roman"/>
          <w:sz w:val="22"/>
          <w:szCs w:val="22"/>
        </w:rPr>
      </w:pPr>
    </w:p>
    <w:p w:rsidR="0091529C" w:rsidRDefault="009152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1529C" w:rsidRDefault="00FE45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3" w:name="_heading=h.1fob9te" w:colFirst="0" w:colLast="0"/>
      <w:bookmarkEnd w:id="3"/>
      <w:r>
        <w:rPr>
          <w:rFonts w:ascii="Times New Roman" w:hAnsi="Times New Roman" w:cs="Times New Roman"/>
          <w:color w:val="000000"/>
          <w:sz w:val="22"/>
          <w:szCs w:val="22"/>
        </w:rPr>
        <w:t>che l’indice di copertura globale delle immobilizzazioni è maggiore o uguale a 0,8 ed è stato così determinato:</w:t>
      </w:r>
    </w:p>
    <w:p w:rsidR="0091529C" w:rsidRDefault="0091529C">
      <w:pPr>
        <w:rPr>
          <w:rFonts w:ascii="Times New Roman" w:hAnsi="Times New Roman" w:cs="Times New Roman"/>
          <w:sz w:val="22"/>
          <w:szCs w:val="22"/>
        </w:rPr>
      </w:pPr>
    </w:p>
    <w:p w:rsidR="0091529C" w:rsidRDefault="00FE4597">
      <w:pPr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Times New Roman" w:hAnsi="Times New Roman" w:cs="Times New Roman"/>
          <w:sz w:val="22"/>
          <w:szCs w:val="22"/>
        </w:rPr>
        <w:t xml:space="preserve"> attraverso i dati riscontrabili nell’ultimo </w:t>
      </w:r>
      <w:r>
        <w:rPr>
          <w:rFonts w:ascii="Times New Roman" w:hAnsi="Times New Roman" w:cs="Times New Roman"/>
          <w:sz w:val="22"/>
          <w:szCs w:val="22"/>
          <w:u w:val="single"/>
        </w:rPr>
        <w:t>bilancio approvato e depositato presso la CCIAA</w:t>
      </w:r>
      <w:r>
        <w:rPr>
          <w:rFonts w:ascii="Times New Roman" w:hAnsi="Times New Roman" w:cs="Times New Roman"/>
          <w:sz w:val="22"/>
          <w:szCs w:val="22"/>
        </w:rPr>
        <w:t xml:space="preserve"> di </w:t>
      </w:r>
      <w:proofErr w:type="gramStart"/>
      <w:r>
        <w:rPr>
          <w:rFonts w:ascii="Times New Roman" w:hAnsi="Times New Roman" w:cs="Times New Roman"/>
          <w:sz w:val="22"/>
          <w:szCs w:val="22"/>
        </w:rPr>
        <w:t>competenza :</w:t>
      </w:r>
      <w:proofErr w:type="gramEnd"/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Patrimonio Netto: €_______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Debiti a medio/lungo termine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>: € _______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Immobilizzazioni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>: € _______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FE4597">
      <w:pPr>
        <w:ind w:left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Tot. PN € ____ + Tot. Debiti a m/l termine €___</w:t>
      </w:r>
    </w:p>
    <w:p w:rsidR="0091529C" w:rsidRDefault="00FE4597">
      <w:pPr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Indice di copertura globale delle immobilizzazioni: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= 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524835" cy="1270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083583" y="3776588"/>
                          <a:ext cx="2524835" cy="6824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524835" cy="127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529C" w:rsidRDefault="00FE4597">
      <w:pPr>
        <w:ind w:left="5245" w:firstLine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Tot. Immobilizzazioni € ____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FE4597">
      <w:pPr>
        <w:ind w:left="426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oppure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FE4597">
      <w:pPr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Times New Roman" w:hAnsi="Times New Roman" w:cs="Times New Roman"/>
          <w:sz w:val="22"/>
          <w:szCs w:val="22"/>
        </w:rPr>
        <w:t xml:space="preserve"> attraverso i dati riscontrabili n</w:t>
      </w:r>
      <w:r>
        <w:rPr>
          <w:rFonts w:ascii="Times New Roman" w:hAnsi="Times New Roman" w:cs="Times New Roman"/>
          <w:color w:val="000000"/>
          <w:sz w:val="22"/>
          <w:szCs w:val="22"/>
        </w:rPr>
        <w:t>ell’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ultimo Modello Unico presentato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alla data di presentazione della domanda e nel bilancio di esercizio di riferimento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Patrimonio Netto: €_______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Debiti a medio/lun</w:t>
      </w:r>
      <w:r>
        <w:rPr>
          <w:rFonts w:ascii="Times New Roman" w:hAnsi="Times New Roman" w:cs="Times New Roman"/>
          <w:color w:val="000000"/>
          <w:sz w:val="22"/>
          <w:szCs w:val="22"/>
        </w:rPr>
        <w:t>go termine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: € _______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Immobilizzazioni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>: € _______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FE4597">
      <w:pPr>
        <w:ind w:left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Tot. PN € ____ + Tot. Debiti a m/l termine €___</w:t>
      </w:r>
    </w:p>
    <w:p w:rsidR="0091529C" w:rsidRDefault="00FE4597">
      <w:pPr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Indice di copertura globale delle immobilizzazioni: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= 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524835" cy="12700"/>
                <wp:effectExtent l="0" t="0" r="0" b="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083583" y="3776588"/>
                          <a:ext cx="2524835" cy="6824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524835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529C" w:rsidRDefault="00FE4597">
      <w:pPr>
        <w:ind w:left="5245" w:firstLine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Tot. Immobilizzazioni € ____</w:t>
      </w:r>
    </w:p>
    <w:p w:rsidR="0091529C" w:rsidRDefault="0091529C"/>
    <w:p w:rsidR="0091529C" w:rsidRDefault="0091529C">
      <w:pPr>
        <w:rPr>
          <w:rFonts w:ascii="Times New Roman" w:hAnsi="Times New Roman" w:cs="Times New Roman"/>
          <w:i/>
          <w:sz w:val="22"/>
          <w:szCs w:val="22"/>
        </w:rPr>
      </w:pPr>
    </w:p>
    <w:p w:rsidR="0091529C" w:rsidRDefault="00FE4597">
      <w:r>
        <w:t xml:space="preserve">  </w:t>
      </w:r>
    </w:p>
    <w:p w:rsidR="0091529C" w:rsidRDefault="00FE45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l’indice di liquidità primaria è maggiore o uguale a 0,8 ed è stato così determinato:</w:t>
      </w:r>
    </w:p>
    <w:p w:rsidR="0091529C" w:rsidRDefault="0091529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FE4597">
      <w:pPr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attraverso i dati riscontrabili </w:t>
      </w:r>
      <w:r>
        <w:rPr>
          <w:rFonts w:ascii="Times New Roman" w:hAnsi="Times New Roman" w:cs="Times New Roman"/>
          <w:sz w:val="22"/>
          <w:szCs w:val="22"/>
        </w:rPr>
        <w:t xml:space="preserve">nell’ultimo </w:t>
      </w:r>
      <w:r>
        <w:rPr>
          <w:rFonts w:ascii="Times New Roman" w:hAnsi="Times New Roman" w:cs="Times New Roman"/>
          <w:sz w:val="22"/>
          <w:szCs w:val="22"/>
          <w:u w:val="single"/>
        </w:rPr>
        <w:t>bilancio approvato e depositato presso la CCIAA</w:t>
      </w:r>
      <w:r>
        <w:rPr>
          <w:rFonts w:ascii="Times New Roman" w:hAnsi="Times New Roman" w:cs="Times New Roman"/>
          <w:sz w:val="22"/>
          <w:szCs w:val="22"/>
        </w:rPr>
        <w:t xml:space="preserve"> di </w:t>
      </w:r>
      <w:proofErr w:type="gramStart"/>
      <w:r>
        <w:rPr>
          <w:rFonts w:ascii="Times New Roman" w:hAnsi="Times New Roman" w:cs="Times New Roman"/>
          <w:sz w:val="22"/>
          <w:szCs w:val="22"/>
        </w:rPr>
        <w:t>competenza :</w:t>
      </w:r>
      <w:proofErr w:type="gramEnd"/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crediti esigibili entro l’esercizio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3"/>
      </w:r>
      <w:r>
        <w:rPr>
          <w:rFonts w:ascii="Times New Roman" w:hAnsi="Times New Roman" w:cs="Times New Roman"/>
          <w:color w:val="000000"/>
          <w:sz w:val="22"/>
          <w:szCs w:val="22"/>
        </w:rPr>
        <w:t>: €_______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disponibilità liquide: € _______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Totale passività correnti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4"/>
      </w:r>
      <w:r>
        <w:rPr>
          <w:rFonts w:ascii="Times New Roman" w:hAnsi="Times New Roman" w:cs="Times New Roman"/>
          <w:color w:val="000000"/>
          <w:sz w:val="22"/>
          <w:szCs w:val="22"/>
        </w:rPr>
        <w:t>: € _______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FE4597">
      <w:pPr>
        <w:ind w:left="2124" w:firstLine="42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Tot. Crediti esigibili entro l’esercizio € ____ + Tot. Disponibilità liquide €___</w:t>
      </w:r>
    </w:p>
    <w:p w:rsidR="0091529C" w:rsidRDefault="00FE4597">
      <w:pPr>
        <w:ind w:left="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Indice di liquidità primaria: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= 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76200</wp:posOffset>
                </wp:positionV>
                <wp:extent cx="4053385" cy="12700"/>
                <wp:effectExtent l="0" t="0" r="0" b="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19308" y="3780000"/>
                          <a:ext cx="405338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76200</wp:posOffset>
                </wp:positionV>
                <wp:extent cx="4053385" cy="127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3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529C" w:rsidRDefault="00FE4597">
      <w:pPr>
        <w:ind w:left="424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Tot. Passività correnti € ____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FE4597">
      <w:pPr>
        <w:ind w:left="426"/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oppure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FE4597">
      <w:pPr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attraverso i dati riscontrabili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ultimo Modello Unico presentato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alla data di presentazione della domanda e nel bilancio di esercizio di riferimento: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crediti esigibili entro l’esercizio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2"/>
          <w:szCs w:val="22"/>
        </w:rPr>
        <w:t>: €_______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Totale disponibilità liquide: € _______</w:t>
      </w:r>
    </w:p>
    <w:p w:rsidR="0091529C" w:rsidRDefault="00FE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</w:t>
      </w:r>
      <w:r>
        <w:rPr>
          <w:rFonts w:ascii="Times New Roman" w:hAnsi="Times New Roman" w:cs="Times New Roman"/>
          <w:color w:val="000000"/>
          <w:sz w:val="22"/>
          <w:szCs w:val="22"/>
        </w:rPr>
        <w:t>tale passività correnti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color w:val="000000"/>
          <w:sz w:val="22"/>
          <w:szCs w:val="22"/>
        </w:rPr>
        <w:t>: € _______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FE4597">
      <w:pPr>
        <w:ind w:left="2124" w:firstLine="42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Tot. Crediti esigibili entro l’esercizio € ____ + Tot. Disponibilità liquide €___</w:t>
      </w:r>
    </w:p>
    <w:p w:rsidR="0091529C" w:rsidRDefault="00FE4597">
      <w:pPr>
        <w:ind w:left="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Indice di liquidità primaria: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= 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76200</wp:posOffset>
                </wp:positionV>
                <wp:extent cx="4053385" cy="12700"/>
                <wp:effectExtent l="0" t="0" r="0" b="0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19308" y="3780000"/>
                          <a:ext cx="405338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76200</wp:posOffset>
                </wp:positionV>
                <wp:extent cx="4053385" cy="127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3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529C" w:rsidRDefault="00FE4597">
      <w:pPr>
        <w:ind w:left="424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Tot. Passività correnti € ____</w:t>
      </w:r>
    </w:p>
    <w:p w:rsidR="0091529C" w:rsidRDefault="0091529C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  <w:sz w:val="22"/>
          <w:szCs w:val="22"/>
        </w:rPr>
      </w:pPr>
    </w:p>
    <w:p w:rsidR="0091529C" w:rsidRDefault="0091529C">
      <w:pPr>
        <w:rPr>
          <w:color w:val="000000"/>
        </w:rPr>
      </w:pPr>
    </w:p>
    <w:p w:rsidR="0091529C" w:rsidRDefault="0091529C">
      <w:pPr>
        <w:rPr>
          <w:color w:val="000000"/>
        </w:rPr>
      </w:pPr>
    </w:p>
    <w:p w:rsidR="0091529C" w:rsidRDefault="00FE459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L’attestazione della capacità finanziaria è valida qualora almeno uno dei due indici di bilancio a) e b) venga dichiarato (barrando l’apposita casella) dal richiedente. </w:t>
      </w:r>
    </w:p>
    <w:p w:rsidR="0091529C" w:rsidRDefault="0091529C"/>
    <w:p w:rsidR="0091529C" w:rsidRDefault="0091529C"/>
    <w:p w:rsidR="0091529C" w:rsidRDefault="0091529C"/>
    <w:p w:rsidR="0091529C" w:rsidRDefault="00FE459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FIRMA DIGITALE DEL LEGALE RAPPRESENTANTE</w:t>
      </w:r>
    </w:p>
    <w:p w:rsidR="0091529C" w:rsidRDefault="0091529C"/>
    <w:sectPr w:rsidR="0091529C">
      <w:headerReference w:type="default" r:id="rId12"/>
      <w:pgSz w:w="11906" w:h="16838"/>
      <w:pgMar w:top="1417" w:right="1134" w:bottom="1134" w:left="1134" w:header="39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597" w:rsidRDefault="00FE4597">
      <w:r>
        <w:separator/>
      </w:r>
    </w:p>
  </w:endnote>
  <w:endnote w:type="continuationSeparator" w:id="0">
    <w:p w:rsidR="00FE4597" w:rsidRDefault="00FE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597" w:rsidRDefault="00FE4597">
      <w:r>
        <w:separator/>
      </w:r>
    </w:p>
  </w:footnote>
  <w:footnote w:type="continuationSeparator" w:id="0">
    <w:p w:rsidR="00FE4597" w:rsidRDefault="00FE4597">
      <w:r>
        <w:continuationSeparator/>
      </w:r>
    </w:p>
  </w:footnote>
  <w:footnote w:id="1">
    <w:p w:rsidR="0091529C" w:rsidRDefault="00FE459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Sono esclusi dal calcolo della voce “Debiti a medio/lungo termine” i debiti a breve termine.</w:t>
      </w:r>
    </w:p>
  </w:footnote>
  <w:footnote w:id="2">
    <w:p w:rsidR="0091529C" w:rsidRDefault="00FE459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Sono da includere nella voce “Totale Immobilizzazioni” le immobilizzazioni immateriali, materiali e finanziarie.</w:t>
      </w:r>
    </w:p>
  </w:footnote>
  <w:footnote w:id="3">
    <w:p w:rsidR="0091529C" w:rsidRDefault="00FE459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Sono da includere nella voce “totale crediti esigibili entro l’esercizio” tutti i crediti esigibili entro l’esercizio, la cui scadenza a breve termine è chiaramente evidenziata nel bilancio. Sono esclusi nel calcolo ratei e risconti attivi. </w:t>
      </w:r>
    </w:p>
  </w:footnote>
  <w:footnote w:id="4">
    <w:p w:rsidR="0091529C" w:rsidRDefault="00FE459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Sono da incl</w:t>
      </w:r>
      <w:r>
        <w:rPr>
          <w:rFonts w:ascii="Times New Roman" w:hAnsi="Times New Roman" w:cs="Times New Roman"/>
          <w:color w:val="000000"/>
          <w:sz w:val="18"/>
          <w:szCs w:val="18"/>
        </w:rPr>
        <w:t>udere nella voce “totale passività correnti” tutte le passività esigibili entro l’esercizio. Sono esclusi nel calcolo ratei e risconti passivi.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9C" w:rsidRDefault="00FE45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1658514" cy="1404983"/>
          <wp:effectExtent l="0" t="0" r="0" b="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514" cy="1404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1529C" w:rsidRDefault="009152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E01"/>
    <w:multiLevelType w:val="multilevel"/>
    <w:tmpl w:val="5F9A31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C1C7E"/>
    <w:multiLevelType w:val="multilevel"/>
    <w:tmpl w:val="765AFD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9C"/>
    <w:rsid w:val="00631594"/>
    <w:rsid w:val="0091529C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FEC6-BBA5-4EE6-8176-863039F8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7DC1"/>
    <w:rPr>
      <w:rFonts w:eastAsia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totabella">
    <w:name w:val="Contenuto tabella"/>
    <w:basedOn w:val="Normale"/>
    <w:rsid w:val="00017DC1"/>
    <w:pPr>
      <w:suppressLineNumbers/>
      <w:suppressAutoHyphens/>
    </w:pPr>
    <w:rPr>
      <w:rFonts w:ascii="Times New Roman" w:hAnsi="Times New Roman" w:cs="Times New Roman"/>
      <w:lang w:eastAsia="zh-CN"/>
    </w:rPr>
  </w:style>
  <w:style w:type="paragraph" w:styleId="NormaleWeb">
    <w:name w:val="Normal (Web)"/>
    <w:basedOn w:val="Normale"/>
    <w:uiPriority w:val="99"/>
    <w:unhideWhenUsed/>
    <w:rsid w:val="00017D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017D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A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AC1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726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7262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726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709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97D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09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97D"/>
    <w:rPr>
      <w:rFonts w:ascii="Arial" w:eastAsia="Times New Roman" w:hAnsi="Arial" w:cs="Arial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gSrVAhV2hj4LvQBVu3QtZlGl5Q==">AMUW2mW+dXqYuoPPxvWYgIOwu0Qi53n3/UKMxlW5k5gIfs6SV1lxOXs1sXopuH5Lq3EIl4xqJC2DJnL982u5H3G9MvSB1lkj/iHb5RFYTupjy3abxcN8+VUTsGEKIMuiaR66U33hPnYg03jCXf0bBbYyrEwEwmoNdg==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AVEPA</dc:creator>
  <cp:lastModifiedBy>Alessandra Segato</cp:lastModifiedBy>
  <cp:revision>2</cp:revision>
  <dcterms:created xsi:type="dcterms:W3CDTF">2022-09-22T07:50:00Z</dcterms:created>
  <dcterms:modified xsi:type="dcterms:W3CDTF">2022-09-22T07:50:00Z</dcterms:modified>
</cp:coreProperties>
</file>