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C8" w:rsidRDefault="008E54C2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line="240" w:lineRule="auto"/>
        <w:ind w:left="1" w:hanging="3"/>
        <w:rPr>
          <w:rFonts w:ascii="Times New Roman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</w:rPr>
        <w:tab/>
        <w:t xml:space="preserve">ALLEGATO </w:t>
      </w:r>
      <w:r>
        <w:rPr>
          <w:b/>
          <w:sz w:val="32"/>
          <w:szCs w:val="32"/>
        </w:rPr>
        <w:t>B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EE0CC8" w:rsidRDefault="008E54C2">
      <w:pPr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sz w:val="32"/>
          <w:szCs w:val="32"/>
        </w:rPr>
        <w:t>Regione del Veneto – Programma Operativo Complementare (POC) al POR FESR 2014-2020</w:t>
      </w: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EE0CC8" w:rsidRDefault="008E5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“Bando per lo sviluppo e consolidamento delle reti d’impresa e/o club di prodotto Strategia d'Area dell’Area Unione Montana Agordina”</w:t>
      </w: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EE0CC8" w:rsidRDefault="008E54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PROGETTO DI RETE</w:t>
      </w:r>
    </w:p>
    <w:p w:rsidR="00EE0CC8" w:rsidRDefault="00EE0CC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E0CC8" w:rsidRDefault="008E54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Il progetto di Rete so</w:t>
      </w:r>
      <w:r>
        <w:rPr>
          <w:i/>
        </w:rPr>
        <w:t>tto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descritto dovrà essere redatto in massimo 20 pagine e dovrà essere firmato digitalmente, nel caso della Rete-soggetto dal rappresentante legale della Rete-soggetto e nel caso della Rete-contratto dal legale rappresentante dell’imp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resa capofila; potranno essere allegate al massimo ulteriori 20 pagine di documentazione a supporto; la documentazione a supporto dovrà indicare le fonti, ma non può essere costituita da rinvii esterni (anche sotto la forma di link a siti). </w:t>
      </w: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E0CC8">
        <w:trPr>
          <w:trHeight w:val="528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1. SINTESI DEL PROGETTO DI RETE</w:t>
            </w:r>
          </w:p>
        </w:tc>
      </w:tr>
      <w:tr w:rsidR="00EE0CC8">
        <w:trPr>
          <w:trHeight w:val="1042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attività e prodotti turistici, obiettivi da realizzare attraverso la Rete, localizzazione dell’intervento, coerenza con gli obiettivi/finalità del bando. Indicazioni relative al consumo di suolo o al riutilizzo di strutture edilizie esistenti nella realizz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azione del prodotto/servizio oggetto del contratto di Rete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.</w:t>
            </w:r>
          </w:p>
        </w:tc>
      </w:tr>
      <w:tr w:rsidR="00EE0CC8">
        <w:trPr>
          <w:trHeight w:val="1256"/>
        </w:trPr>
        <w:tc>
          <w:tcPr>
            <w:tcW w:w="9900" w:type="dxa"/>
            <w:shd w:val="clear" w:color="auto" w:fill="FFFFFF"/>
          </w:tcPr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0"/>
        <w:tblW w:w="9925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5"/>
      </w:tblGrid>
      <w:tr w:rsidR="00EE0CC8">
        <w:trPr>
          <w:trHeight w:val="511"/>
        </w:trPr>
        <w:tc>
          <w:tcPr>
            <w:tcW w:w="9925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2. IL MERCATO</w:t>
            </w:r>
          </w:p>
        </w:tc>
      </w:tr>
      <w:tr w:rsidR="00EE0CC8">
        <w:trPr>
          <w:trHeight w:val="1392"/>
        </w:trPr>
        <w:tc>
          <w:tcPr>
            <w:tcW w:w="9925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target e segmenti di mercato (ambiti territoriali, classi socio-demografiche, di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reddito,  etc.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) a cui si intende rivolgere la propria offerta; ricadute in termini di diversificazione dell’offerta per la destinazione turistica o le destinazioni turistiche 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coinvolte e, più in generale, il territorio in cui opererà la Rete; posizionamento rispetto ai competitors; trend evolutivi; eventuali analisi di mercato a supporto</w:t>
            </w:r>
          </w:p>
        </w:tc>
      </w:tr>
      <w:tr w:rsidR="00EE0CC8">
        <w:trPr>
          <w:trHeight w:val="1096"/>
        </w:trPr>
        <w:tc>
          <w:tcPr>
            <w:tcW w:w="9925" w:type="dxa"/>
            <w:shd w:val="clear" w:color="auto" w:fill="FFFFFF"/>
          </w:tcPr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E0CC8" w:rsidRDefault="008E54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lastRenderedPageBreak/>
        <w:t xml:space="preserve"> </w:t>
      </w: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1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E0CC8">
        <w:trPr>
          <w:trHeight w:val="528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3. IL PRODOTTO/SERVIZIO TURISTICO </w:t>
            </w:r>
          </w:p>
        </w:tc>
      </w:tr>
      <w:tr w:rsidR="00EE0CC8">
        <w:trPr>
          <w:trHeight w:val="1242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piano di attività e, per ciascuna di queste, ruolo di ogni impresa aderente alla rete e modalità di collaborazione tra le imprese della Rete; descrizione di come funziona il prodotto/servizio oggetto del contratto di Re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te; indicazioni sull’innovazione, anche rispetto al contesto, del prodotto/servizio da offrire rispetto alla domanda di mercato</w:t>
            </w:r>
          </w:p>
        </w:tc>
      </w:tr>
      <w:tr w:rsidR="00EE0CC8">
        <w:trPr>
          <w:trHeight w:val="959"/>
        </w:trPr>
        <w:tc>
          <w:tcPr>
            <w:tcW w:w="9900" w:type="dxa"/>
            <w:shd w:val="clear" w:color="auto" w:fill="FFFFFF"/>
          </w:tcPr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2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E0CC8">
        <w:trPr>
          <w:trHeight w:val="528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4. LA “CARTA DEI SERVIZI DEL CLUB DI PRODOTTO”</w:t>
            </w:r>
          </w:p>
        </w:tc>
      </w:tr>
      <w:tr w:rsidR="00EE0CC8">
        <w:trPr>
          <w:trHeight w:val="1046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standard di qualità con riferimento alle caratteristiche di ciascuna tipologia di impresa, modalità di erogazione dei servizi, attrezzature disponibili, attività, personale o collaboratori specializzati e beni di club, necessari per garantire il prodotto o</w:t>
            </w: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ggetto della Rete.</w:t>
            </w:r>
          </w:p>
        </w:tc>
      </w:tr>
      <w:tr w:rsidR="00EE0CC8">
        <w:trPr>
          <w:trHeight w:val="1216"/>
        </w:trPr>
        <w:tc>
          <w:tcPr>
            <w:tcW w:w="9900" w:type="dxa"/>
            <w:shd w:val="clear" w:color="auto" w:fill="FFFFFF"/>
          </w:tcPr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3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E0CC8">
        <w:trPr>
          <w:trHeight w:val="528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5. IL PIANO DI MARKETING</w:t>
            </w: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E0CC8">
        <w:trPr>
          <w:trHeight w:val="577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prezzi, promozione, commercializzazione del prodotto/servizio turistico. </w:t>
            </w:r>
          </w:p>
        </w:tc>
      </w:tr>
      <w:tr w:rsidR="00EE0CC8">
        <w:trPr>
          <w:trHeight w:val="1386"/>
        </w:trPr>
        <w:tc>
          <w:tcPr>
            <w:tcW w:w="9900" w:type="dxa"/>
            <w:shd w:val="clear" w:color="auto" w:fill="FFFFFF"/>
          </w:tcPr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4"/>
        <w:tblW w:w="9961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EE0CC8">
        <w:trPr>
          <w:trHeight w:val="528"/>
        </w:trPr>
        <w:tc>
          <w:tcPr>
            <w:tcW w:w="9961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6. IL PIANO OPERATIVO-ECONOMICO-FINANZIARIO</w:t>
            </w:r>
          </w:p>
        </w:tc>
      </w:tr>
      <w:tr w:rsidR="00EE0CC8">
        <w:trPr>
          <w:trHeight w:val="1323"/>
        </w:trPr>
        <w:tc>
          <w:tcPr>
            <w:tcW w:w="9961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EE0CC8" w:rsidRDefault="008E54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costi (spese e investimenti) per la realizzazione del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</w:r>
            <w:r>
              <w:rPr>
                <w:rFonts w:ascii="Times New Roman" w:hAnsi="Times New Roman" w:cs="Times New Roman"/>
                <w:i/>
                <w:color w:val="000000"/>
              </w:rPr>
              <w:t>progetto di rete; correlazione tra mezzi, spese previste e prodotto/servizio turistico oggetto del contratto di rete; modalità di cofinanziamento del progetto da parte delle imprese aderenti alla rete, sostenibilità economica del progetto di rete. Il piano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finanziario dovrà dichiarare le spese previste per la realizzazione del progetto al netto di IVA, bolli, oneri bancari e ogni altra imposta e/o onere accessorio, inoltre non è da inserire in quanto non ammissibile, la quota di spesa relativa a soggetti pr</w:t>
            </w:r>
            <w:r>
              <w:rPr>
                <w:rFonts w:ascii="Times New Roman" w:hAnsi="Times New Roman" w:cs="Times New Roman"/>
                <w:i/>
                <w:color w:val="000000"/>
              </w:rPr>
              <w:t>ivi di unità operativa in Veneto. Se la rete dispone di preventivi di spesa, questi sono da allegare unitamente al</w:t>
            </w:r>
            <w:r>
              <w:rPr>
                <w:i/>
              </w:rPr>
              <w:t xml:space="preserve"> presente allegato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. Nel caso di rete-contratto, allo scopo di imputare correttamente i contributi richiesti ai fini del calcolo del 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 Regolamento UE 1407/2013 il piano finanziario dovrà indicare la suddivisione delle spese programmate per ciascun retista e per ciascuna delle tipologie di spesa ammissibili di cui all’art. 6 del bando.</w:t>
            </w: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E0CC8">
        <w:trPr>
          <w:trHeight w:val="1270"/>
        </w:trPr>
        <w:tc>
          <w:tcPr>
            <w:tcW w:w="9961" w:type="dxa"/>
            <w:shd w:val="clear" w:color="auto" w:fill="FFFFFF"/>
          </w:tcPr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  <w:sectPr w:rsidR="00EE0CC8">
          <w:footerReference w:type="default" r:id="rId7"/>
          <w:headerReference w:type="first" r:id="rId8"/>
          <w:pgSz w:w="11906" w:h="16838"/>
          <w:pgMar w:top="1134" w:right="1134" w:bottom="1134" w:left="1134" w:header="720" w:footer="720" w:gutter="0"/>
          <w:pgNumType w:start="1"/>
          <w:cols w:space="720"/>
          <w:titlePg/>
        </w:sect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5"/>
        <w:tblW w:w="14922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22"/>
      </w:tblGrid>
      <w:tr w:rsidR="00EE0CC8">
        <w:trPr>
          <w:trHeight w:val="419"/>
        </w:trPr>
        <w:tc>
          <w:tcPr>
            <w:tcW w:w="14922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Tabella spese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(compilare una delle due tabelle riportate nel quadro sottostante)</w:t>
            </w:r>
          </w:p>
        </w:tc>
      </w:tr>
      <w:tr w:rsidR="00EE0CC8">
        <w:trPr>
          <w:trHeight w:val="2012"/>
        </w:trPr>
        <w:tc>
          <w:tcPr>
            <w:tcW w:w="14922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Nel caso di Rete contratto compilare la seguente tabella</w:t>
            </w: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tbl>
            <w:tblPr>
              <w:tblStyle w:val="a6"/>
              <w:tblW w:w="14588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  <w:gridCol w:w="2349"/>
              <w:gridCol w:w="767"/>
              <w:gridCol w:w="1923"/>
              <w:gridCol w:w="593"/>
              <w:gridCol w:w="900"/>
              <w:gridCol w:w="1335"/>
              <w:gridCol w:w="811"/>
              <w:gridCol w:w="975"/>
              <w:gridCol w:w="1095"/>
              <w:gridCol w:w="960"/>
              <w:gridCol w:w="960"/>
              <w:gridCol w:w="960"/>
            </w:tblGrid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59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VOCI DI SPESA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a)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b)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c)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d)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e)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f)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g)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j)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810"/>
              </w:trPr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4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IMPRESE PARTECIPANTI ALLA RETE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consulenza analisi di mercato</w:t>
                  </w:r>
                </w:p>
              </w:tc>
              <w:tc>
                <w:tcPr>
                  <w:tcW w:w="1923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costituzione/aggiornamento della rete (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€ 5.000)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acquisto beni mobili e servizi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assistenza tecnico-specialistica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promo e commercializzazione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Formazione</w:t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garanzie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fideiussiorie</w:t>
                  </w:r>
                  <w:proofErr w:type="spellEnd"/>
                </w:p>
              </w:tc>
              <w:tc>
                <w:tcPr>
                  <w:tcW w:w="109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interventi edili/impiantistica (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25%)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Interventi di riqualificazione ambientale (max. 15%)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Progettazione, direzione lavori, collaudo (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€ 3.000)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4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3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E0CC8">
              <w:trPr>
                <w:trHeight w:val="46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000000"/>
                      <w:sz w:val="16"/>
                      <w:szCs w:val="16"/>
                    </w:rPr>
                    <w:t> Impresa 1 (Capofila)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Impresa 2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….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TOTALE</w:t>
                  </w: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9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09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</w:tr>
          </w:tbl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Nel caso di Rete Soggetto compilare la seguente tabella</w:t>
            </w: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8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tbl>
            <w:tblPr>
              <w:tblStyle w:val="a7"/>
              <w:tblW w:w="14319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60"/>
              <w:gridCol w:w="2084"/>
              <w:gridCol w:w="998"/>
              <w:gridCol w:w="1692"/>
              <w:gridCol w:w="593"/>
              <w:gridCol w:w="1117"/>
              <w:gridCol w:w="1119"/>
              <w:gridCol w:w="811"/>
              <w:gridCol w:w="945"/>
              <w:gridCol w:w="945"/>
              <w:gridCol w:w="1134"/>
              <w:gridCol w:w="961"/>
              <w:gridCol w:w="960"/>
            </w:tblGrid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54" w:type="dxa"/>
                  <w:gridSpan w:val="9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VOCI DI SPESA</w:t>
                  </w:r>
                </w:p>
              </w:tc>
              <w:tc>
                <w:tcPr>
                  <w:tcW w:w="96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a)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b)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c)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d)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e)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f)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g)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h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i)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j)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0CC8">
              <w:trPr>
                <w:trHeight w:val="810"/>
              </w:trPr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NOMINATIVO RETE SOGGETTO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consulenza analisi di mercato</w:t>
                  </w:r>
                </w:p>
              </w:tc>
              <w:tc>
                <w:tcPr>
                  <w:tcW w:w="1692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costituzione/aggiornamento della rete (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€ 5.000)</w:t>
                  </w:r>
                </w:p>
              </w:tc>
              <w:tc>
                <w:tcPr>
                  <w:tcW w:w="593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acquisto beni mobili e servizi</w:t>
                  </w:r>
                </w:p>
              </w:tc>
              <w:tc>
                <w:tcPr>
                  <w:tcW w:w="1117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assistenza tecnico-specialistica</w:t>
                  </w:r>
                </w:p>
              </w:tc>
              <w:tc>
                <w:tcPr>
                  <w:tcW w:w="1119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promo e commercializzazione</w:t>
                  </w:r>
                </w:p>
              </w:tc>
              <w:tc>
                <w:tcPr>
                  <w:tcW w:w="81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Formazione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garanzie </w:t>
                  </w:r>
                  <w:r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>fideiussorie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interventi edili/impiantistica (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16"/>
                      <w:szCs w:val="16"/>
                    </w:rPr>
                    <w:t>25</w:t>
                  </w: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%)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Interventi di riqualificazione ambientale (max. 15%)</w:t>
                  </w:r>
                </w:p>
              </w:tc>
              <w:tc>
                <w:tcPr>
                  <w:tcW w:w="961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Progettazione (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>max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000000"/>
                      <w:sz w:val="16"/>
                      <w:szCs w:val="16"/>
                    </w:rPr>
                    <w:t xml:space="preserve"> € 3.000)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8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93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17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19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11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45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1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EE0CC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TOTALE</w:t>
                  </w:r>
                </w:p>
              </w:tc>
            </w:tr>
            <w:tr w:rsidR="00EE0CC8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right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08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i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6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6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EE0CC8" w:rsidRDefault="008E54C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16"/>
                      <w:szCs w:val="16"/>
                    </w:rPr>
                    <w:t>€ …</w:t>
                  </w:r>
                </w:p>
              </w:tc>
            </w:tr>
          </w:tbl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  <w:sectPr w:rsidR="00EE0CC8">
          <w:headerReference w:type="first" r:id="rId9"/>
          <w:pgSz w:w="16838" w:h="11906" w:orient="landscape"/>
          <w:pgMar w:top="1134" w:right="1134" w:bottom="1134" w:left="1134" w:header="396" w:footer="720" w:gutter="0"/>
          <w:cols w:space="720"/>
          <w:titlePg/>
        </w:sect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8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EE0CC8">
        <w:trPr>
          <w:trHeight w:val="528"/>
        </w:trPr>
        <w:tc>
          <w:tcPr>
            <w:tcW w:w="9900" w:type="dxa"/>
            <w:shd w:val="clear" w:color="auto" w:fill="FFFFFF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7. CRONOPROGRAMMA</w:t>
            </w:r>
          </w:p>
        </w:tc>
      </w:tr>
      <w:tr w:rsidR="00EE0CC8">
        <w:trPr>
          <w:trHeight w:val="675"/>
        </w:trPr>
        <w:tc>
          <w:tcPr>
            <w:tcW w:w="9900" w:type="dxa"/>
          </w:tcPr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EE0CC8" w:rsidRDefault="008E54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tempi di realizzazione di ciascuna fase di sviluppo del progetto di Rete </w:t>
            </w:r>
          </w:p>
        </w:tc>
      </w:tr>
      <w:tr w:rsidR="00EE0CC8">
        <w:trPr>
          <w:trHeight w:val="675"/>
        </w:trPr>
        <w:tc>
          <w:tcPr>
            <w:tcW w:w="9900" w:type="dxa"/>
            <w:shd w:val="clear" w:color="auto" w:fill="FFFFFF"/>
          </w:tcPr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EE0CC8" w:rsidRDefault="00EE0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8E54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DATA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FIRMA DIGITALE DEL LEGALE RAPPRESENTANTE</w:t>
      </w: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EE0CC8" w:rsidRDefault="00EE0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EE0CC8"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4C2" w:rsidRDefault="008E54C2">
      <w:pPr>
        <w:spacing w:line="240" w:lineRule="auto"/>
        <w:ind w:left="0" w:hanging="2"/>
      </w:pPr>
      <w:r>
        <w:separator/>
      </w:r>
    </w:p>
  </w:endnote>
  <w:endnote w:type="continuationSeparator" w:id="0">
    <w:p w:rsidR="008E54C2" w:rsidRDefault="008E54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Palace Script MT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C8" w:rsidRDefault="008E54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4C2" w:rsidRDefault="008E54C2">
      <w:pPr>
        <w:spacing w:line="240" w:lineRule="auto"/>
        <w:ind w:left="0" w:hanging="2"/>
      </w:pPr>
      <w:r>
        <w:separator/>
      </w:r>
    </w:p>
  </w:footnote>
  <w:footnote w:type="continuationSeparator" w:id="0">
    <w:p w:rsidR="008E54C2" w:rsidRDefault="008E54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C8" w:rsidRDefault="008E54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</w:rPr>
    </w:pPr>
    <w:r>
      <w:rPr>
        <w:rFonts w:eastAsia="Arial"/>
        <w:color w:val="000000"/>
      </w:rPr>
      <w:tab/>
    </w: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1658514" cy="1404983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514" cy="1404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E0CC8" w:rsidRDefault="00EE0C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CC8" w:rsidRDefault="008E54C2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1658514" cy="1404983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514" cy="14049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E0CC8" w:rsidRDefault="00EE0CC8">
    <w:pPr>
      <w:tabs>
        <w:tab w:val="center" w:pos="4819"/>
        <w:tab w:val="right" w:pos="9638"/>
      </w:tabs>
      <w:ind w:left="0" w:hanging="2"/>
      <w:jc w:val="center"/>
      <w:rPr>
        <w:rFonts w:ascii="Calibri" w:eastAsia="Calibri" w:hAnsi="Calibri" w:cs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C8"/>
    <w:rsid w:val="008E54C2"/>
    <w:rsid w:val="00B67638"/>
    <w:rsid w:val="00E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FEC6-BBA5-4EE6-8176-863039F8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Times New Roman" w:hAnsi="Times New Roman" w:cs="Times New Roman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alace Script MT" w:eastAsia="MS Mincho" w:hAnsi="Palace Script MT" w:cs="Palace Script MT"/>
      <w:color w:val="000000"/>
      <w:position w:val="-1"/>
      <w:sz w:val="24"/>
      <w:szCs w:val="24"/>
      <w:lang w:eastAsia="ja-JP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uppressAutoHyphens w:val="0"/>
      <w:autoSpaceDN w:val="0"/>
      <w:ind w:left="708"/>
      <w:textAlignment w:val="baseline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SgKwFDNP3U3V+yan7Ae8KY2cRQ==">AMUW2mXzhAuvjUY1DaELz2EO6D5axIWjXn1g8A4QHyv9OUxwc5/XtQ8VQ1ulgZw/gza38bUi5HONyqirrzty3XiCvKi8CCZKIg/j9vxuuo5M+3ggntmsYFs=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Alessandra Segato</cp:lastModifiedBy>
  <cp:revision>2</cp:revision>
  <dcterms:created xsi:type="dcterms:W3CDTF">2022-09-22T07:49:00Z</dcterms:created>
  <dcterms:modified xsi:type="dcterms:W3CDTF">2022-09-22T07:49:00Z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