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DA8" w:rsidRDefault="00FF00E0">
      <w:pPr>
        <w:ind w:left="720"/>
        <w:jc w:val="right"/>
        <w:rPr>
          <w:b/>
        </w:rPr>
      </w:pPr>
      <w:r>
        <w:tab/>
      </w:r>
      <w:r>
        <w:tab/>
      </w:r>
      <w:r>
        <w:tab/>
      </w:r>
      <w:r>
        <w:tab/>
      </w:r>
      <w:r>
        <w:tab/>
      </w:r>
      <w:r>
        <w:tab/>
      </w:r>
      <w:r>
        <w:tab/>
      </w:r>
      <w:r>
        <w:tab/>
      </w:r>
      <w:r>
        <w:tab/>
      </w:r>
      <w:r>
        <w:rPr>
          <w:b/>
        </w:rPr>
        <w:t xml:space="preserve">MODULO A </w:t>
      </w:r>
    </w:p>
    <w:p w:rsidR="00DE2DA8" w:rsidRDefault="00DE2DA8">
      <w:pPr>
        <w:ind w:left="720"/>
      </w:pPr>
    </w:p>
    <w:tbl>
      <w:tblPr>
        <w:tblStyle w:val="af4"/>
        <w:tblW w:w="98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6255"/>
      </w:tblGrid>
      <w:tr w:rsidR="00DE2DA8">
        <w:tc>
          <w:tcPr>
            <w:tcW w:w="3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6255" w:type="dxa"/>
            <w:shd w:val="clear" w:color="auto" w:fill="auto"/>
            <w:tcMar>
              <w:top w:w="100" w:type="dxa"/>
              <w:left w:w="100" w:type="dxa"/>
              <w:bottom w:w="100" w:type="dxa"/>
              <w:right w:w="100" w:type="dxa"/>
            </w:tcMar>
          </w:tcPr>
          <w:p w:rsidR="00DE2DA8" w:rsidRDefault="00FF00E0">
            <w:pPr>
              <w:widowControl w:val="0"/>
              <w:spacing w:line="240" w:lineRule="auto"/>
            </w:pPr>
            <w:r>
              <w:t>Alla Regione del Veneto</w:t>
            </w:r>
          </w:p>
          <w:p w:rsidR="00DE2DA8" w:rsidRDefault="00FF00E0">
            <w:pPr>
              <w:widowControl w:val="0"/>
              <w:spacing w:line="240" w:lineRule="auto"/>
            </w:pPr>
            <w:r>
              <w:t>Direzione Beni Attività Culturali e Sport</w:t>
            </w:r>
          </w:p>
          <w:p w:rsidR="00DE2DA8" w:rsidRDefault="00FF00E0">
            <w:pPr>
              <w:widowControl w:val="0"/>
              <w:spacing w:line="240" w:lineRule="auto"/>
            </w:pPr>
            <w:r>
              <w:t xml:space="preserve">Palazzo </w:t>
            </w:r>
            <w:proofErr w:type="spellStart"/>
            <w:r>
              <w:t>Sceriman</w:t>
            </w:r>
            <w:proofErr w:type="spellEnd"/>
            <w:r>
              <w:t xml:space="preserve">, </w:t>
            </w:r>
            <w:proofErr w:type="spellStart"/>
            <w:r>
              <w:t>Cannaregio</w:t>
            </w:r>
            <w:proofErr w:type="spellEnd"/>
            <w:r>
              <w:t xml:space="preserve"> 168 </w:t>
            </w:r>
          </w:p>
          <w:p w:rsidR="00DE2DA8" w:rsidRDefault="00FF00E0">
            <w:pPr>
              <w:widowControl w:val="0"/>
              <w:spacing w:line="240" w:lineRule="auto"/>
            </w:pPr>
            <w:r>
              <w:t>30121 Venezia</w:t>
            </w:r>
          </w:p>
          <w:p w:rsidR="00DE2DA8" w:rsidRDefault="00FF00E0">
            <w:pPr>
              <w:widowControl w:val="0"/>
              <w:spacing w:line="240" w:lineRule="auto"/>
            </w:pPr>
            <w:r>
              <w:rPr>
                <w:u w:val="single"/>
              </w:rPr>
              <w:t>beniattivitaculturalisport@pec.regione.veneto.it</w:t>
            </w:r>
          </w:p>
        </w:tc>
      </w:tr>
    </w:tbl>
    <w:p w:rsidR="00DE2DA8" w:rsidRDefault="00FF00E0">
      <w:r>
        <w:t xml:space="preserve"> </w:t>
      </w:r>
    </w:p>
    <w:tbl>
      <w:tblPr>
        <w:tblStyle w:val="af5"/>
        <w:tblW w:w="987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8070"/>
      </w:tblGrid>
      <w:tr w:rsidR="00DE2DA8">
        <w:tc>
          <w:tcPr>
            <w:tcW w:w="180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OGGETTO</w:t>
            </w:r>
          </w:p>
        </w:tc>
        <w:tc>
          <w:tcPr>
            <w:tcW w:w="807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jc w:val="both"/>
              <w:rPr>
                <w:rFonts w:ascii="Tahoma" w:eastAsia="Tahoma" w:hAnsi="Tahoma" w:cs="Tahoma"/>
              </w:rPr>
            </w:pPr>
            <w:r>
              <w:rPr>
                <w:rFonts w:ascii="Tahoma" w:eastAsia="Tahoma" w:hAnsi="Tahoma" w:cs="Tahoma"/>
              </w:rPr>
              <w:t>Presentazione di proposte progettuali di commemorazione degli eventi e personalità individuate dal Piano annuale della Cultura 2022.</w:t>
            </w:r>
          </w:p>
        </w:tc>
      </w:tr>
      <w:tr w:rsidR="00DE2DA8">
        <w:trPr>
          <w:trHeight w:val="420"/>
        </w:trPr>
        <w:tc>
          <w:tcPr>
            <w:tcW w:w="9870" w:type="dxa"/>
            <w:gridSpan w:val="2"/>
            <w:shd w:val="clear" w:color="auto" w:fill="auto"/>
            <w:tcMar>
              <w:top w:w="100" w:type="dxa"/>
              <w:left w:w="100" w:type="dxa"/>
              <w:bottom w:w="100" w:type="dxa"/>
              <w:right w:w="100" w:type="dxa"/>
            </w:tcMar>
          </w:tcPr>
          <w:p w:rsidR="00DE2DA8" w:rsidRDefault="00FF00E0">
            <w:pPr>
              <w:spacing w:after="6" w:line="268" w:lineRule="auto"/>
              <w:ind w:left="142" w:right="3"/>
              <w:jc w:val="both"/>
              <w:rPr>
                <w:rFonts w:ascii="Tahoma" w:eastAsia="Tahoma" w:hAnsi="Tahoma" w:cs="Tahoma"/>
              </w:rPr>
            </w:pPr>
            <w:r>
              <w:rPr>
                <w:rFonts w:ascii="Tahoma" w:eastAsia="Tahoma" w:hAnsi="Tahoma" w:cs="Tahoma"/>
              </w:rPr>
              <w:t>Avviso per la presentazione, senza alcun vincolo per l’amministrazione regionale, di proposte progettuali di commemorazione di eventi e personalità che hanno segnato la storia del Veneto, la cui ricorrenza cadrà nel 2023, come individuate dal Piano annuale</w:t>
            </w:r>
            <w:r>
              <w:rPr>
                <w:rFonts w:ascii="Tahoma" w:eastAsia="Tahoma" w:hAnsi="Tahoma" w:cs="Tahoma"/>
              </w:rPr>
              <w:t xml:space="preserve"> della Cultura 2022, ai sensi della L.R. n. 17/2019 “Legge per la cultura”, art. 33.</w:t>
            </w:r>
          </w:p>
        </w:tc>
      </w:tr>
      <w:tr w:rsidR="00DE2DA8">
        <w:trPr>
          <w:trHeight w:val="420"/>
        </w:trPr>
        <w:tc>
          <w:tcPr>
            <w:tcW w:w="9870" w:type="dxa"/>
            <w:gridSpan w:val="2"/>
            <w:shd w:val="clear" w:color="auto" w:fill="auto"/>
            <w:tcMar>
              <w:top w:w="100" w:type="dxa"/>
              <w:left w:w="100" w:type="dxa"/>
              <w:bottom w:w="100" w:type="dxa"/>
              <w:right w:w="100" w:type="dxa"/>
            </w:tcMar>
          </w:tcPr>
          <w:p w:rsidR="00DE2DA8" w:rsidRDefault="00FF00E0">
            <w:pPr>
              <w:widowControl w:val="0"/>
              <w:spacing w:line="240" w:lineRule="auto"/>
              <w:rPr>
                <w:rFonts w:ascii="Verdana" w:eastAsia="Verdana" w:hAnsi="Verdana" w:cs="Verdana"/>
              </w:rPr>
            </w:pPr>
            <w:r>
              <w:t xml:space="preserve">Rif.  DGR n. 1006 </w:t>
            </w:r>
            <w:proofErr w:type="gramStart"/>
            <w:r>
              <w:t>del  9.08.2022</w:t>
            </w:r>
            <w:proofErr w:type="gramEnd"/>
          </w:p>
          <w:p w:rsidR="00DE2DA8" w:rsidRDefault="00DE2DA8">
            <w:pPr>
              <w:widowControl w:val="0"/>
              <w:spacing w:line="240" w:lineRule="auto"/>
              <w:rPr>
                <w:rFonts w:ascii="Verdana" w:eastAsia="Verdana" w:hAnsi="Verdana" w:cs="Verdana"/>
                <w:b/>
                <w:highlight w:val="yellow"/>
              </w:rPr>
            </w:pPr>
          </w:p>
        </w:tc>
      </w:tr>
    </w:tbl>
    <w:p w:rsidR="00DE2DA8" w:rsidRDefault="00DE2DA8"/>
    <w:tbl>
      <w:tblPr>
        <w:tblStyle w:val="af6"/>
        <w:tblW w:w="99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255"/>
        <w:gridCol w:w="7965"/>
      </w:tblGrid>
      <w:tr w:rsidR="00DE2DA8">
        <w:trPr>
          <w:trHeight w:val="597"/>
        </w:trPr>
        <w:tc>
          <w:tcPr>
            <w:tcW w:w="1710" w:type="dxa"/>
            <w:vMerge w:val="restart"/>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rPr>
                <w:i/>
                <w:sz w:val="18"/>
                <w:szCs w:val="18"/>
              </w:rPr>
            </w:pPr>
            <w:r>
              <w:t>Marca da bollo di € 16,00</w:t>
            </w:r>
            <w:r>
              <w:br/>
            </w:r>
            <w:r>
              <w:rPr>
                <w:i/>
                <w:sz w:val="18"/>
                <w:szCs w:val="18"/>
              </w:rPr>
              <w:t xml:space="preserve">(ai sensi del D.P.R.642/72) </w:t>
            </w:r>
          </w:p>
        </w:tc>
        <w:tc>
          <w:tcPr>
            <w:tcW w:w="255"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 xml:space="preserve">Numero identificativo della marca da bollo ____ </w:t>
            </w:r>
            <w:r>
              <w:br/>
            </w:r>
            <w:r>
              <w:rPr>
                <w:i/>
                <w:sz w:val="18"/>
                <w:szCs w:val="18"/>
              </w:rPr>
              <w:t>Il soggetto sottoscrittore di</w:t>
            </w:r>
            <w:r>
              <w:rPr>
                <w:i/>
                <w:sz w:val="18"/>
                <w:szCs w:val="18"/>
              </w:rPr>
              <w:t>chiara che la marca da bollo è stata annullata per la presentazione della presente domanda e non sarà utilizzata per altri adempimenti</w:t>
            </w:r>
          </w:p>
        </w:tc>
      </w:tr>
      <w:tr w:rsidR="00DE2DA8">
        <w:trPr>
          <w:trHeight w:val="420"/>
        </w:trPr>
        <w:tc>
          <w:tcPr>
            <w:tcW w:w="1710" w:type="dxa"/>
            <w:vMerge/>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pPr>
          </w:p>
        </w:tc>
        <w:tc>
          <w:tcPr>
            <w:tcW w:w="255"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 xml:space="preserve">Pagamento effettuato per via telematica </w:t>
            </w:r>
          </w:p>
        </w:tc>
      </w:tr>
      <w:tr w:rsidR="00DE2DA8">
        <w:trPr>
          <w:trHeight w:val="420"/>
        </w:trPr>
        <w:tc>
          <w:tcPr>
            <w:tcW w:w="1710" w:type="dxa"/>
            <w:vMerge/>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pPr>
          </w:p>
        </w:tc>
        <w:tc>
          <w:tcPr>
            <w:tcW w:w="255"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7965"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Soggetto esentato in quanto …………………………………………….</w:t>
            </w:r>
          </w:p>
          <w:p w:rsidR="00DE2DA8" w:rsidRDefault="00FF00E0">
            <w:pPr>
              <w:widowControl w:val="0"/>
              <w:pBdr>
                <w:top w:val="nil"/>
                <w:left w:val="nil"/>
                <w:bottom w:val="nil"/>
                <w:right w:val="nil"/>
                <w:between w:val="nil"/>
              </w:pBdr>
              <w:spacing w:line="240" w:lineRule="auto"/>
              <w:rPr>
                <w:i/>
                <w:sz w:val="18"/>
                <w:szCs w:val="18"/>
              </w:rPr>
            </w:pPr>
            <w:r>
              <w:rPr>
                <w:i/>
                <w:sz w:val="18"/>
                <w:szCs w:val="18"/>
              </w:rPr>
              <w:t xml:space="preserve">(Amministrazioni dello </w:t>
            </w:r>
            <w:proofErr w:type="spellStart"/>
            <w:proofErr w:type="gramStart"/>
            <w:r>
              <w:rPr>
                <w:i/>
                <w:sz w:val="18"/>
                <w:szCs w:val="18"/>
              </w:rPr>
              <w:t>Stato,regioni</w:t>
            </w:r>
            <w:proofErr w:type="spellEnd"/>
            <w:proofErr w:type="gramEnd"/>
            <w:r>
              <w:rPr>
                <w:i/>
                <w:sz w:val="18"/>
                <w:szCs w:val="18"/>
              </w:rPr>
              <w:t xml:space="preserve">, province, comuni, loro consorzi e associazioni, nonché comunità montane, Onlus, Associazioni di volontariato, </w:t>
            </w:r>
            <w:proofErr w:type="spellStart"/>
            <w:r>
              <w:rPr>
                <w:i/>
                <w:sz w:val="18"/>
                <w:szCs w:val="18"/>
              </w:rPr>
              <w:t>rif.</w:t>
            </w:r>
            <w:proofErr w:type="spellEnd"/>
            <w:r>
              <w:rPr>
                <w:i/>
                <w:sz w:val="18"/>
                <w:szCs w:val="18"/>
              </w:rPr>
              <w:t xml:space="preserve"> D.P.R.642/72 allegato B artt.16 e 27 bis) </w:t>
            </w:r>
          </w:p>
        </w:tc>
      </w:tr>
    </w:tbl>
    <w:p w:rsidR="00DE2DA8" w:rsidRDefault="00DE2DA8"/>
    <w:tbl>
      <w:tblPr>
        <w:tblStyle w:val="af7"/>
        <w:tblW w:w="98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60"/>
        <w:gridCol w:w="6180"/>
      </w:tblGrid>
      <w:tr w:rsidR="00DE2DA8">
        <w:trPr>
          <w:trHeight w:val="420"/>
        </w:trPr>
        <w:tc>
          <w:tcPr>
            <w:tcW w:w="9840" w:type="dxa"/>
            <w:gridSpan w:val="2"/>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rPr>
                <w:b/>
                <w:sz w:val="24"/>
                <w:szCs w:val="24"/>
              </w:rPr>
            </w:pPr>
            <w:r>
              <w:rPr>
                <w:b/>
                <w:sz w:val="24"/>
                <w:szCs w:val="24"/>
              </w:rPr>
              <w:t>DATI SOGGETTO RICHIEDENTE</w:t>
            </w:r>
          </w:p>
        </w:tc>
      </w:tr>
      <w:tr w:rsidR="00DE2DA8">
        <w:tc>
          <w:tcPr>
            <w:tcW w:w="366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Il/la sottoscritto/a</w:t>
            </w:r>
          </w:p>
        </w:tc>
        <w:tc>
          <w:tcPr>
            <w:tcW w:w="618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r>
      <w:tr w:rsidR="00DE2DA8">
        <w:tc>
          <w:tcPr>
            <w:tcW w:w="366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 xml:space="preserve">nato/a </w:t>
            </w:r>
            <w:proofErr w:type="spellStart"/>
            <w:r>
              <w:t>a</w:t>
            </w:r>
            <w:proofErr w:type="spellEnd"/>
          </w:p>
        </w:tc>
        <w:tc>
          <w:tcPr>
            <w:tcW w:w="618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r>
      <w:tr w:rsidR="00DE2DA8">
        <w:tc>
          <w:tcPr>
            <w:tcW w:w="366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 xml:space="preserve">il </w:t>
            </w:r>
          </w:p>
        </w:tc>
        <w:tc>
          <w:tcPr>
            <w:tcW w:w="618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r>
      <w:tr w:rsidR="00DE2DA8">
        <w:tc>
          <w:tcPr>
            <w:tcW w:w="366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telefono</w:t>
            </w:r>
          </w:p>
        </w:tc>
        <w:tc>
          <w:tcPr>
            <w:tcW w:w="618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r>
      <w:tr w:rsidR="00DE2DA8">
        <w:tc>
          <w:tcPr>
            <w:tcW w:w="366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e-mail</w:t>
            </w:r>
          </w:p>
        </w:tc>
        <w:tc>
          <w:tcPr>
            <w:tcW w:w="618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r>
    </w:tbl>
    <w:p w:rsidR="00DE2DA8" w:rsidRDefault="00DE2DA8"/>
    <w:p w:rsidR="00DE2DA8" w:rsidRDefault="00FF00E0">
      <w:pPr>
        <w:jc w:val="center"/>
        <w:rPr>
          <w:b/>
        </w:rPr>
      </w:pPr>
      <w:r>
        <w:rPr>
          <w:b/>
        </w:rPr>
        <w:t>in qualità di legale rappresentante o di delegato a rappresentare</w:t>
      </w:r>
    </w:p>
    <w:p w:rsidR="00DE2DA8" w:rsidRDefault="00DE2DA8">
      <w:pPr>
        <w:jc w:val="center"/>
        <w:rPr>
          <w:b/>
        </w:rPr>
      </w:pPr>
    </w:p>
    <w:tbl>
      <w:tblPr>
        <w:tblStyle w:val="af8"/>
        <w:tblW w:w="100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6360"/>
      </w:tblGrid>
      <w:tr w:rsidR="00DE2DA8">
        <w:trPr>
          <w:trHeight w:val="420"/>
        </w:trPr>
        <w:tc>
          <w:tcPr>
            <w:tcW w:w="10080" w:type="dxa"/>
            <w:gridSpan w:val="2"/>
            <w:shd w:val="clear" w:color="auto" w:fill="auto"/>
            <w:tcMar>
              <w:top w:w="100" w:type="dxa"/>
              <w:left w:w="100" w:type="dxa"/>
              <w:bottom w:w="100" w:type="dxa"/>
              <w:right w:w="100" w:type="dxa"/>
            </w:tcMar>
          </w:tcPr>
          <w:p w:rsidR="00DE2DA8" w:rsidRDefault="00FF00E0">
            <w:pPr>
              <w:widowControl w:val="0"/>
              <w:spacing w:line="240" w:lineRule="auto"/>
              <w:rPr>
                <w:b/>
                <w:sz w:val="24"/>
                <w:szCs w:val="24"/>
              </w:rPr>
            </w:pPr>
            <w:r>
              <w:rPr>
                <w:b/>
                <w:sz w:val="24"/>
                <w:szCs w:val="24"/>
              </w:rPr>
              <w:t xml:space="preserve">DATI ENTE- ASSOCIAZIONE- FONDAZIONE </w:t>
            </w: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 xml:space="preserve">denominazione  </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natura giuridica</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rPr>
                <w:highlight w:val="white"/>
              </w:rPr>
            </w:pPr>
            <w:r>
              <w:rPr>
                <w:highlight w:val="white"/>
              </w:rPr>
              <w:t>sede legale (via, comune)</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lastRenderedPageBreak/>
              <w:t>sede operativa (via, comune)</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partita Iva/codice fiscale</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telefono</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proofErr w:type="spellStart"/>
            <w:r>
              <w:t>pec</w:t>
            </w:r>
            <w:proofErr w:type="spellEnd"/>
            <w:r>
              <w:t xml:space="preserve"> (indirizzo di posta certificato)</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e-mail</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c>
          <w:tcPr>
            <w:tcW w:w="3720" w:type="dxa"/>
            <w:shd w:val="clear" w:color="auto" w:fill="auto"/>
            <w:tcMar>
              <w:top w:w="100" w:type="dxa"/>
              <w:left w:w="100" w:type="dxa"/>
              <w:bottom w:w="100" w:type="dxa"/>
              <w:right w:w="100" w:type="dxa"/>
            </w:tcMar>
          </w:tcPr>
          <w:p w:rsidR="00DE2DA8" w:rsidRDefault="00FF00E0">
            <w:pPr>
              <w:widowControl w:val="0"/>
              <w:spacing w:line="240" w:lineRule="auto"/>
            </w:pPr>
            <w:r>
              <w:t>sito web</w:t>
            </w:r>
          </w:p>
        </w:tc>
        <w:tc>
          <w:tcPr>
            <w:tcW w:w="6360" w:type="dxa"/>
            <w:shd w:val="clear" w:color="auto" w:fill="auto"/>
            <w:tcMar>
              <w:top w:w="100" w:type="dxa"/>
              <w:left w:w="100" w:type="dxa"/>
              <w:bottom w:w="100" w:type="dxa"/>
              <w:right w:w="100" w:type="dxa"/>
            </w:tcMar>
          </w:tcPr>
          <w:p w:rsidR="00DE2DA8" w:rsidRDefault="00DE2DA8">
            <w:pPr>
              <w:widowControl w:val="0"/>
              <w:spacing w:line="240" w:lineRule="auto"/>
            </w:pPr>
          </w:p>
        </w:tc>
      </w:tr>
    </w:tbl>
    <w:p w:rsidR="00DE2DA8" w:rsidRDefault="00DE2DA8">
      <w:pPr>
        <w:jc w:val="center"/>
        <w:rPr>
          <w:b/>
          <w:sz w:val="24"/>
          <w:szCs w:val="24"/>
        </w:rPr>
      </w:pPr>
    </w:p>
    <w:p w:rsidR="00DE2DA8" w:rsidRDefault="00FF00E0">
      <w:pPr>
        <w:jc w:val="center"/>
        <w:rPr>
          <w:rFonts w:ascii="Tahoma" w:eastAsia="Tahoma" w:hAnsi="Tahoma" w:cs="Tahoma"/>
          <w:b/>
        </w:rPr>
      </w:pPr>
      <w:r>
        <w:rPr>
          <w:rFonts w:ascii="Tahoma" w:eastAsia="Tahoma" w:hAnsi="Tahoma" w:cs="Tahoma"/>
          <w:b/>
        </w:rPr>
        <w:t xml:space="preserve">presenta la </w:t>
      </w:r>
      <w:proofErr w:type="gramStart"/>
      <w:r>
        <w:rPr>
          <w:rFonts w:ascii="Tahoma" w:eastAsia="Tahoma" w:hAnsi="Tahoma" w:cs="Tahoma"/>
          <w:b/>
        </w:rPr>
        <w:t>seguente  proposta</w:t>
      </w:r>
      <w:proofErr w:type="gramEnd"/>
      <w:r>
        <w:rPr>
          <w:rFonts w:ascii="Tahoma" w:eastAsia="Tahoma" w:hAnsi="Tahoma" w:cs="Tahoma"/>
          <w:b/>
        </w:rPr>
        <w:t xml:space="preserve">  progettuale, </w:t>
      </w:r>
    </w:p>
    <w:p w:rsidR="00DE2DA8" w:rsidRDefault="00FF00E0">
      <w:pPr>
        <w:jc w:val="center"/>
        <w:rPr>
          <w:rFonts w:ascii="Tahoma" w:eastAsia="Tahoma" w:hAnsi="Tahoma" w:cs="Tahoma"/>
          <w:b/>
        </w:rPr>
      </w:pPr>
      <w:r>
        <w:rPr>
          <w:rFonts w:ascii="Tahoma" w:eastAsia="Tahoma" w:hAnsi="Tahoma" w:cs="Tahoma"/>
          <w:b/>
        </w:rPr>
        <w:t xml:space="preserve">senza alcun vincolo per l’amministrazione regionale, </w:t>
      </w:r>
    </w:p>
    <w:p w:rsidR="00DE2DA8" w:rsidRDefault="00FF00E0">
      <w:pPr>
        <w:jc w:val="both"/>
        <w:rPr>
          <w:rFonts w:ascii="Tahoma" w:eastAsia="Tahoma" w:hAnsi="Tahoma" w:cs="Tahoma"/>
        </w:rPr>
      </w:pPr>
      <w:r>
        <w:rPr>
          <w:rFonts w:ascii="Tahoma" w:eastAsia="Tahoma" w:hAnsi="Tahoma" w:cs="Tahoma"/>
        </w:rPr>
        <w:t xml:space="preserve">concernente la commemorazione di eventi e personalità che hanno segnato la storia del Veneto e la cui ricorrenza cade nel 2023, così come sono stati individuati dal Piano annuale degli interventi per la cultura 2022 (Azione 4.1_E: Commemorazione di eventi </w:t>
      </w:r>
      <w:r>
        <w:rPr>
          <w:rFonts w:ascii="Tahoma" w:eastAsia="Tahoma" w:hAnsi="Tahoma" w:cs="Tahoma"/>
        </w:rPr>
        <w:t>e personalità che hanno segnato la storia del Veneto) approvato con DGR n. 719/2022 ai sensi della L.R. n.  17/2019 “Legge per la cultura”, art. 33, e qui di seguito elencati:</w:t>
      </w:r>
    </w:p>
    <w:p w:rsidR="00DE2DA8" w:rsidRDefault="00DE2DA8">
      <w:pPr>
        <w:jc w:val="both"/>
        <w:rPr>
          <w:rFonts w:ascii="Tahoma" w:eastAsia="Tahoma" w:hAnsi="Tahoma" w:cs="Tahoma"/>
        </w:rPr>
      </w:pPr>
    </w:p>
    <w:p w:rsidR="00DE2DA8" w:rsidRDefault="00FF00E0">
      <w:pPr>
        <w:numPr>
          <w:ilvl w:val="0"/>
          <w:numId w:val="1"/>
        </w:numPr>
        <w:spacing w:after="6" w:line="240" w:lineRule="auto"/>
        <w:ind w:left="556" w:right="3" w:hanging="283"/>
        <w:jc w:val="both"/>
        <w:rPr>
          <w:rFonts w:ascii="Times New Roman" w:eastAsia="Times New Roman" w:hAnsi="Times New Roman" w:cs="Times New Roman"/>
        </w:rPr>
      </w:pPr>
      <w:r>
        <w:rPr>
          <w:rFonts w:ascii="Tahoma" w:eastAsia="Tahoma" w:hAnsi="Tahoma" w:cs="Tahoma"/>
          <w:b/>
        </w:rPr>
        <w:t>Gian Francesco Malipiero</w:t>
      </w:r>
      <w:r>
        <w:rPr>
          <w:rFonts w:ascii="Tahoma" w:eastAsia="Tahoma" w:hAnsi="Tahoma" w:cs="Tahoma"/>
        </w:rPr>
        <w:t>,</w:t>
      </w:r>
      <w:r>
        <w:rPr>
          <w:rFonts w:ascii="Tahoma" w:eastAsia="Tahoma" w:hAnsi="Tahoma" w:cs="Tahoma"/>
          <w:b/>
        </w:rPr>
        <w:t xml:space="preserve"> </w:t>
      </w:r>
      <w:r>
        <w:rPr>
          <w:rFonts w:ascii="Tahoma" w:eastAsia="Tahoma" w:hAnsi="Tahoma" w:cs="Tahoma"/>
        </w:rPr>
        <w:t xml:space="preserve">nato a Venezia il 18 marzo 1882 e morto a Treviso il </w:t>
      </w:r>
      <w:proofErr w:type="gramStart"/>
      <w:r>
        <w:rPr>
          <w:rFonts w:ascii="Tahoma" w:eastAsia="Tahoma" w:hAnsi="Tahoma" w:cs="Tahoma"/>
        </w:rPr>
        <w:t>1 agosto</w:t>
      </w:r>
      <w:proofErr w:type="gramEnd"/>
      <w:r>
        <w:rPr>
          <w:rFonts w:ascii="Tahoma" w:eastAsia="Tahoma" w:hAnsi="Tahoma" w:cs="Tahoma"/>
        </w:rPr>
        <w:t xml:space="preserve"> 1973, importante compositore italiano, esponente della cosiddetta "Generazione dell’Ottanta": </w:t>
      </w:r>
      <w:r>
        <w:rPr>
          <w:rFonts w:ascii="Tahoma" w:eastAsia="Tahoma" w:hAnsi="Tahoma" w:cs="Tahoma"/>
          <w:b/>
        </w:rPr>
        <w:t>50 anni dalla morte</w:t>
      </w:r>
      <w:r>
        <w:rPr>
          <w:rFonts w:ascii="Tahoma" w:eastAsia="Tahoma" w:hAnsi="Tahoma" w:cs="Tahoma"/>
        </w:rPr>
        <w:t>;</w:t>
      </w:r>
    </w:p>
    <w:p w:rsidR="00DE2DA8" w:rsidRDefault="00DE2DA8">
      <w:pPr>
        <w:spacing w:after="6" w:line="240" w:lineRule="auto"/>
        <w:ind w:left="720" w:right="3"/>
        <w:jc w:val="both"/>
        <w:rPr>
          <w:rFonts w:ascii="Tahoma" w:eastAsia="Tahoma" w:hAnsi="Tahoma" w:cs="Tahoma"/>
        </w:rPr>
      </w:pPr>
    </w:p>
    <w:p w:rsidR="00DE2DA8" w:rsidRDefault="00FF00E0">
      <w:pPr>
        <w:numPr>
          <w:ilvl w:val="0"/>
          <w:numId w:val="5"/>
        </w:numPr>
        <w:spacing w:after="6" w:line="240" w:lineRule="auto"/>
        <w:ind w:left="556" w:right="3" w:hanging="283"/>
        <w:jc w:val="both"/>
        <w:rPr>
          <w:rFonts w:ascii="Times New Roman" w:eastAsia="Times New Roman" w:hAnsi="Times New Roman" w:cs="Times New Roman"/>
        </w:rPr>
      </w:pPr>
      <w:r>
        <w:rPr>
          <w:rFonts w:ascii="Tahoma" w:eastAsia="Tahoma" w:hAnsi="Tahoma" w:cs="Tahoma"/>
          <w:b/>
        </w:rPr>
        <w:t xml:space="preserve">Maria Callas, </w:t>
      </w:r>
      <w:r>
        <w:rPr>
          <w:rFonts w:ascii="Tahoma" w:eastAsia="Tahoma" w:hAnsi="Tahoma" w:cs="Tahoma"/>
        </w:rPr>
        <w:t xml:space="preserve">nata a New York nel 1923 e morta a Parigi nel 1977: </w:t>
      </w:r>
      <w:r>
        <w:rPr>
          <w:rFonts w:ascii="Tahoma" w:eastAsia="Tahoma" w:hAnsi="Tahoma" w:cs="Tahoma"/>
          <w:b/>
        </w:rPr>
        <w:t>100 anni dalla nascita</w:t>
      </w:r>
      <w:r>
        <w:rPr>
          <w:rFonts w:ascii="Tahoma" w:eastAsia="Tahoma" w:hAnsi="Tahoma" w:cs="Tahoma"/>
        </w:rPr>
        <w:t>. Nel 1947 debutta in Italia all’Arena di Verona in "Gioconda" di Ponchielli e a fine anno al Gran Teatro "La Fenice" di Venezia. Nel 1949 sposa Giambattista Meneghini, industriale veronese e diventa cittadina italiana andando a vivere tra Verona e Sirmion</w:t>
      </w:r>
      <w:r>
        <w:rPr>
          <w:rFonts w:ascii="Tahoma" w:eastAsia="Tahoma" w:hAnsi="Tahoma" w:cs="Tahoma"/>
        </w:rPr>
        <w:t xml:space="preserve">e. Nello stesso anno debutta in "Puritani" alla Fenice con cui ebbe il primo grande successo come soprano drammatico d’agilità, il suo vero ruolo vocale, che segnò l’inizio, tutto veneto, di una carriera unica che la rese la più grande cantante lirica del </w:t>
      </w:r>
      <w:r>
        <w:rPr>
          <w:rFonts w:ascii="Tahoma" w:eastAsia="Tahoma" w:hAnsi="Tahoma" w:cs="Tahoma"/>
        </w:rPr>
        <w:t>’900;</w:t>
      </w:r>
    </w:p>
    <w:p w:rsidR="00DE2DA8" w:rsidRDefault="00DE2DA8">
      <w:pPr>
        <w:spacing w:after="6" w:line="240" w:lineRule="auto"/>
        <w:ind w:left="273" w:right="3"/>
        <w:jc w:val="both"/>
        <w:rPr>
          <w:rFonts w:ascii="Tahoma" w:eastAsia="Tahoma" w:hAnsi="Tahoma" w:cs="Tahoma"/>
        </w:rPr>
      </w:pPr>
    </w:p>
    <w:p w:rsidR="00DE2DA8" w:rsidRDefault="00FF00E0">
      <w:pPr>
        <w:numPr>
          <w:ilvl w:val="0"/>
          <w:numId w:val="4"/>
        </w:numPr>
        <w:spacing w:after="6" w:line="240" w:lineRule="auto"/>
        <w:ind w:left="556" w:right="3" w:hanging="283"/>
        <w:jc w:val="both"/>
        <w:rPr>
          <w:rFonts w:ascii="Times New Roman" w:eastAsia="Times New Roman" w:hAnsi="Times New Roman" w:cs="Times New Roman"/>
        </w:rPr>
      </w:pPr>
      <w:r>
        <w:rPr>
          <w:rFonts w:ascii="Tahoma" w:eastAsia="Tahoma" w:hAnsi="Tahoma" w:cs="Tahoma"/>
          <w:b/>
        </w:rPr>
        <w:t xml:space="preserve">Toti dal Monte, </w:t>
      </w:r>
      <w:r>
        <w:rPr>
          <w:rFonts w:ascii="Tahoma" w:eastAsia="Tahoma" w:hAnsi="Tahoma" w:cs="Tahoma"/>
        </w:rPr>
        <w:t xml:space="preserve">pseudonimo di Antonietta </w:t>
      </w:r>
      <w:proofErr w:type="spellStart"/>
      <w:r>
        <w:rPr>
          <w:rFonts w:ascii="Tahoma" w:eastAsia="Tahoma" w:hAnsi="Tahoma" w:cs="Tahoma"/>
        </w:rPr>
        <w:t>Meneghel</w:t>
      </w:r>
      <w:proofErr w:type="spellEnd"/>
      <w:r>
        <w:rPr>
          <w:rFonts w:ascii="Tahoma" w:eastAsia="Tahoma" w:hAnsi="Tahoma" w:cs="Tahoma"/>
        </w:rPr>
        <w:t xml:space="preserve">, nata a Mogliano Veneto nel 1893 e morta a Pieve di Soligo nel 1975: </w:t>
      </w:r>
      <w:r>
        <w:rPr>
          <w:rFonts w:ascii="Tahoma" w:eastAsia="Tahoma" w:hAnsi="Tahoma" w:cs="Tahoma"/>
          <w:b/>
        </w:rPr>
        <w:t>130 anni dalla nascita</w:t>
      </w:r>
      <w:r>
        <w:rPr>
          <w:rFonts w:ascii="Tahoma" w:eastAsia="Tahoma" w:hAnsi="Tahoma" w:cs="Tahoma"/>
        </w:rPr>
        <w:t>. Una delle più grandi cantanti liriche del primo ’900. Soprano leggero di coloratura, scoperta da Toscanini</w:t>
      </w:r>
      <w:r>
        <w:rPr>
          <w:rFonts w:ascii="Tahoma" w:eastAsia="Tahoma" w:hAnsi="Tahoma" w:cs="Tahoma"/>
        </w:rPr>
        <w:t xml:space="preserve"> nel ruolo di Gilda, fu famosa in tutto il mondo negli anni ’20 e ’30. Sono rimaste memorabili le sue interpretazioni di “Lucia di Lammermoor”, “Elisir d'Amore” e “Madama Butterfly”. Voce pura e penetrante, capace di colorature mirabolanti dal timbro molto</w:t>
      </w:r>
      <w:r>
        <w:rPr>
          <w:rFonts w:ascii="Tahoma" w:eastAsia="Tahoma" w:hAnsi="Tahoma" w:cs="Tahoma"/>
        </w:rPr>
        <w:t xml:space="preserve"> giovanile. Fu la “Lucia” di riferimento prima della Callas;</w:t>
      </w:r>
    </w:p>
    <w:p w:rsidR="00DE2DA8" w:rsidRDefault="00DE2DA8">
      <w:pPr>
        <w:spacing w:after="6" w:line="240" w:lineRule="auto"/>
        <w:ind w:left="273" w:right="3"/>
        <w:jc w:val="both"/>
        <w:rPr>
          <w:rFonts w:ascii="Tahoma" w:eastAsia="Tahoma" w:hAnsi="Tahoma" w:cs="Tahoma"/>
        </w:rPr>
      </w:pPr>
    </w:p>
    <w:p w:rsidR="00DE2DA8" w:rsidRDefault="00FF00E0">
      <w:pPr>
        <w:numPr>
          <w:ilvl w:val="0"/>
          <w:numId w:val="3"/>
        </w:numPr>
        <w:spacing w:after="6" w:line="240" w:lineRule="auto"/>
        <w:ind w:left="556" w:right="3" w:hanging="283"/>
        <w:jc w:val="both"/>
        <w:rPr>
          <w:rFonts w:ascii="Times New Roman" w:eastAsia="Times New Roman" w:hAnsi="Times New Roman" w:cs="Times New Roman"/>
        </w:rPr>
      </w:pPr>
      <w:r>
        <w:rPr>
          <w:rFonts w:ascii="Tahoma" w:eastAsia="Tahoma" w:hAnsi="Tahoma" w:cs="Tahoma"/>
          <w:b/>
        </w:rPr>
        <w:t xml:space="preserve">Paolo Sarpi </w:t>
      </w:r>
      <w:r>
        <w:rPr>
          <w:rFonts w:ascii="Tahoma" w:eastAsia="Tahoma" w:hAnsi="Tahoma" w:cs="Tahoma"/>
        </w:rPr>
        <w:t>(Venezia 1552 - 1623)</w:t>
      </w:r>
      <w:r>
        <w:rPr>
          <w:rFonts w:ascii="Tahoma" w:eastAsia="Tahoma" w:hAnsi="Tahoma" w:cs="Tahoma"/>
          <w:b/>
        </w:rPr>
        <w:t xml:space="preserve">: 400 anni dalla morte. </w:t>
      </w:r>
      <w:r>
        <w:rPr>
          <w:rFonts w:ascii="Tahoma" w:eastAsia="Tahoma" w:hAnsi="Tahoma" w:cs="Tahoma"/>
        </w:rPr>
        <w:t>Religioso, teologo, storico e scienziato italiano, cittadino della Repubblica di Venezia, appartenente all’Ordine dei Servi di Maria. Aut</w:t>
      </w:r>
      <w:r>
        <w:rPr>
          <w:rFonts w:ascii="Tahoma" w:eastAsia="Tahoma" w:hAnsi="Tahoma" w:cs="Tahoma"/>
        </w:rPr>
        <w:t>ore della celebre “Istoria del Concilio tridentino”, subito messa all’Indice, fu fermo oppositore del centralismo monarchico della Chiesa cattolica, difendendo le prerogative della Repubblica Veneziana colpita dall’interdetto emanato da Paolo V;</w:t>
      </w:r>
    </w:p>
    <w:p w:rsidR="00DE2DA8" w:rsidRDefault="00DE2DA8">
      <w:pPr>
        <w:spacing w:after="6" w:line="240" w:lineRule="auto"/>
        <w:ind w:left="273" w:right="3"/>
        <w:jc w:val="both"/>
        <w:rPr>
          <w:rFonts w:ascii="Tahoma" w:eastAsia="Tahoma" w:hAnsi="Tahoma" w:cs="Tahoma"/>
        </w:rPr>
      </w:pPr>
    </w:p>
    <w:p w:rsidR="00DE2DA8" w:rsidRDefault="00FF00E0">
      <w:pPr>
        <w:numPr>
          <w:ilvl w:val="0"/>
          <w:numId w:val="2"/>
        </w:numPr>
        <w:spacing w:after="6" w:line="240" w:lineRule="auto"/>
        <w:ind w:left="556" w:right="3" w:hanging="283"/>
        <w:jc w:val="both"/>
        <w:rPr>
          <w:rFonts w:ascii="Times New Roman" w:eastAsia="Times New Roman" w:hAnsi="Times New Roman" w:cs="Times New Roman"/>
        </w:rPr>
      </w:pPr>
      <w:r>
        <w:rPr>
          <w:rFonts w:ascii="Tahoma" w:eastAsia="Tahoma" w:hAnsi="Tahoma" w:cs="Tahoma"/>
          <w:b/>
        </w:rPr>
        <w:t>Fondazion</w:t>
      </w:r>
      <w:r>
        <w:rPr>
          <w:rFonts w:ascii="Tahoma" w:eastAsia="Tahoma" w:hAnsi="Tahoma" w:cs="Tahoma"/>
          <w:b/>
        </w:rPr>
        <w:t xml:space="preserve">e del Lazzaretto Vecchio di Venezia </w:t>
      </w:r>
      <w:r>
        <w:rPr>
          <w:rFonts w:ascii="Tahoma" w:eastAsia="Tahoma" w:hAnsi="Tahoma" w:cs="Tahoma"/>
        </w:rPr>
        <w:t>nel 1423</w:t>
      </w:r>
      <w:r>
        <w:rPr>
          <w:rFonts w:ascii="Tahoma" w:eastAsia="Tahoma" w:hAnsi="Tahoma" w:cs="Tahoma"/>
          <w:b/>
        </w:rPr>
        <w:t xml:space="preserve">: 600 anni fa. </w:t>
      </w:r>
      <w:r>
        <w:rPr>
          <w:rFonts w:ascii="Tahoma" w:eastAsia="Tahoma" w:hAnsi="Tahoma" w:cs="Tahoma"/>
        </w:rPr>
        <w:t>Fu il primo della storia. Nel 1423, su consiglio di San Bernardino da Siena, il Senato della Repubblica deliberò di destinare l’isola a ricovero di persone e merci provenienti da paesi infetti e di</w:t>
      </w:r>
      <w:r>
        <w:rPr>
          <w:rFonts w:ascii="Tahoma" w:eastAsia="Tahoma" w:hAnsi="Tahoma" w:cs="Tahoma"/>
        </w:rPr>
        <w:t xml:space="preserve"> provvedere i ricoverati di vitto, medicine e assistenza. Sembra che il termine lazzaretto derivi proprio dalla chiesa di Santa Maria di Nazareth, con sovrapposizione del nome del patrono degli appestati, San Lazzaro;</w:t>
      </w:r>
    </w:p>
    <w:p w:rsidR="00DE2DA8" w:rsidRDefault="00DE2DA8">
      <w:pPr>
        <w:spacing w:after="6" w:line="240" w:lineRule="auto"/>
        <w:ind w:left="273" w:right="3"/>
        <w:jc w:val="both"/>
        <w:rPr>
          <w:rFonts w:ascii="Tahoma" w:eastAsia="Tahoma" w:hAnsi="Tahoma" w:cs="Tahoma"/>
        </w:rPr>
      </w:pPr>
    </w:p>
    <w:p w:rsidR="00DE2DA8" w:rsidRPr="00FF00E0" w:rsidRDefault="00FF00E0" w:rsidP="00FF00E0">
      <w:pPr>
        <w:numPr>
          <w:ilvl w:val="0"/>
          <w:numId w:val="2"/>
        </w:numPr>
        <w:spacing w:after="6" w:line="240" w:lineRule="auto"/>
        <w:ind w:left="556" w:right="3" w:hanging="283"/>
        <w:jc w:val="both"/>
        <w:rPr>
          <w:b/>
        </w:rPr>
      </w:pPr>
      <w:r w:rsidRPr="00FF00E0">
        <w:rPr>
          <w:rFonts w:ascii="Tahoma" w:eastAsia="Tahoma" w:hAnsi="Tahoma" w:cs="Tahoma"/>
          <w:b/>
        </w:rPr>
        <w:t xml:space="preserve">altri eventi o personalità che hanno </w:t>
      </w:r>
      <w:r w:rsidRPr="00FF00E0">
        <w:rPr>
          <w:rFonts w:ascii="Tahoma" w:eastAsia="Tahoma" w:hAnsi="Tahoma" w:cs="Tahoma"/>
          <w:b/>
        </w:rPr>
        <w:t>segnato la storia del Veneto, la cui ricorrenza cada comunque nel 2023.</w:t>
      </w:r>
      <w:bookmarkStart w:id="0" w:name="_GoBack"/>
      <w:bookmarkEnd w:id="0"/>
    </w:p>
    <w:tbl>
      <w:tblPr>
        <w:tblStyle w:val="af9"/>
        <w:tblW w:w="96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6120"/>
      </w:tblGrid>
      <w:tr w:rsidR="00DE2DA8">
        <w:trPr>
          <w:trHeight w:val="440"/>
          <w:jc w:val="center"/>
        </w:trPr>
        <w:tc>
          <w:tcPr>
            <w:tcW w:w="9660" w:type="dxa"/>
            <w:gridSpan w:val="2"/>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rPr>
                <w:b/>
                <w:sz w:val="24"/>
                <w:szCs w:val="24"/>
              </w:rPr>
            </w:pPr>
            <w:r>
              <w:rPr>
                <w:b/>
                <w:sz w:val="24"/>
                <w:szCs w:val="24"/>
              </w:rPr>
              <w:lastRenderedPageBreak/>
              <w:t>INFORMAZIONI GENERALI DEL PROGETTO - INIZIATIVA - INTERVENTO</w:t>
            </w:r>
          </w:p>
        </w:tc>
      </w:tr>
      <w:tr w:rsidR="00DE2DA8">
        <w:trPr>
          <w:trHeight w:val="440"/>
          <w:jc w:val="center"/>
        </w:trPr>
        <w:tc>
          <w:tcPr>
            <w:tcW w:w="3540" w:type="dxa"/>
            <w:shd w:val="clear" w:color="auto" w:fill="auto"/>
            <w:tcMar>
              <w:top w:w="100" w:type="dxa"/>
              <w:left w:w="100" w:type="dxa"/>
              <w:bottom w:w="100" w:type="dxa"/>
              <w:right w:w="100" w:type="dxa"/>
            </w:tcMar>
          </w:tcPr>
          <w:p w:rsidR="00DE2DA8" w:rsidRDefault="00FF00E0">
            <w:pPr>
              <w:widowControl w:val="0"/>
              <w:spacing w:line="240" w:lineRule="auto"/>
            </w:pPr>
            <w:r>
              <w:t>denominazione</w:t>
            </w:r>
          </w:p>
        </w:tc>
        <w:tc>
          <w:tcPr>
            <w:tcW w:w="6120" w:type="dxa"/>
            <w:shd w:val="clear" w:color="auto" w:fill="auto"/>
            <w:tcMar>
              <w:top w:w="100" w:type="dxa"/>
              <w:left w:w="100" w:type="dxa"/>
              <w:bottom w:w="100" w:type="dxa"/>
              <w:right w:w="100" w:type="dxa"/>
            </w:tcMar>
          </w:tcPr>
          <w:p w:rsidR="00DE2DA8" w:rsidRDefault="00DE2DA8">
            <w:pPr>
              <w:widowControl w:val="0"/>
              <w:spacing w:line="240" w:lineRule="auto"/>
            </w:pPr>
          </w:p>
        </w:tc>
      </w:tr>
      <w:tr w:rsidR="00DE2DA8">
        <w:trPr>
          <w:trHeight w:val="440"/>
          <w:jc w:val="center"/>
        </w:trPr>
        <w:tc>
          <w:tcPr>
            <w:tcW w:w="3540" w:type="dxa"/>
            <w:shd w:val="clear" w:color="auto" w:fill="auto"/>
            <w:tcMar>
              <w:top w:w="100" w:type="dxa"/>
              <w:left w:w="100" w:type="dxa"/>
              <w:bottom w:w="100" w:type="dxa"/>
              <w:right w:w="100" w:type="dxa"/>
            </w:tcMar>
          </w:tcPr>
          <w:p w:rsidR="00DE2DA8" w:rsidRDefault="00FF00E0">
            <w:pPr>
              <w:widowControl w:val="0"/>
              <w:spacing w:line="240" w:lineRule="auto"/>
              <w:rPr>
                <w:i/>
                <w:sz w:val="16"/>
                <w:szCs w:val="16"/>
              </w:rPr>
            </w:pPr>
            <w:r>
              <w:t xml:space="preserve">spesa complessiva preventivata </w:t>
            </w:r>
          </w:p>
        </w:tc>
        <w:tc>
          <w:tcPr>
            <w:tcW w:w="6120" w:type="dxa"/>
            <w:shd w:val="clear" w:color="auto" w:fill="auto"/>
            <w:tcMar>
              <w:top w:w="100" w:type="dxa"/>
              <w:left w:w="100" w:type="dxa"/>
              <w:bottom w:w="100" w:type="dxa"/>
              <w:right w:w="100" w:type="dxa"/>
            </w:tcMar>
          </w:tcPr>
          <w:p w:rsidR="00DE2DA8" w:rsidRDefault="00FF00E0">
            <w:pPr>
              <w:widowControl w:val="0"/>
              <w:spacing w:line="240" w:lineRule="auto"/>
            </w:pPr>
            <w:r>
              <w:t>€</w:t>
            </w:r>
          </w:p>
        </w:tc>
      </w:tr>
      <w:tr w:rsidR="00DE2DA8">
        <w:trPr>
          <w:trHeight w:val="440"/>
          <w:jc w:val="center"/>
        </w:trPr>
        <w:tc>
          <w:tcPr>
            <w:tcW w:w="3540" w:type="dxa"/>
            <w:shd w:val="clear" w:color="auto" w:fill="auto"/>
            <w:tcMar>
              <w:top w:w="100" w:type="dxa"/>
              <w:left w:w="100" w:type="dxa"/>
              <w:bottom w:w="100" w:type="dxa"/>
              <w:right w:w="100" w:type="dxa"/>
            </w:tcMar>
          </w:tcPr>
          <w:p w:rsidR="00DE2DA8" w:rsidRDefault="00FF00E0">
            <w:pPr>
              <w:widowControl w:val="0"/>
              <w:spacing w:line="240" w:lineRule="auto"/>
            </w:pPr>
            <w:r>
              <w:t>contributo regionale richiesto</w:t>
            </w:r>
            <w:r>
              <w:rPr>
                <w:i/>
                <w:sz w:val="16"/>
                <w:szCs w:val="16"/>
              </w:rPr>
              <w:t xml:space="preserve"> </w:t>
            </w:r>
          </w:p>
        </w:tc>
        <w:tc>
          <w:tcPr>
            <w:tcW w:w="6120" w:type="dxa"/>
            <w:shd w:val="clear" w:color="auto" w:fill="auto"/>
            <w:tcMar>
              <w:top w:w="100" w:type="dxa"/>
              <w:left w:w="100" w:type="dxa"/>
              <w:bottom w:w="100" w:type="dxa"/>
              <w:right w:w="100" w:type="dxa"/>
            </w:tcMar>
          </w:tcPr>
          <w:p w:rsidR="00DE2DA8" w:rsidRDefault="00FF00E0">
            <w:pPr>
              <w:widowControl w:val="0"/>
              <w:spacing w:line="240" w:lineRule="auto"/>
            </w:pPr>
            <w:r>
              <w:t>€</w:t>
            </w:r>
          </w:p>
        </w:tc>
      </w:tr>
    </w:tbl>
    <w:p w:rsidR="00DE2DA8" w:rsidRDefault="00DE2DA8">
      <w:pPr>
        <w:widowControl w:val="0"/>
        <w:spacing w:line="240" w:lineRule="auto"/>
        <w:jc w:val="center"/>
        <w:rPr>
          <w:b/>
          <w:sz w:val="24"/>
          <w:szCs w:val="24"/>
        </w:rPr>
      </w:pPr>
    </w:p>
    <w:p w:rsidR="00DE2DA8" w:rsidRDefault="00FF00E0">
      <w:pPr>
        <w:widowControl w:val="0"/>
        <w:spacing w:line="240" w:lineRule="auto"/>
        <w:jc w:val="center"/>
        <w:rPr>
          <w:i/>
          <w:sz w:val="18"/>
          <w:szCs w:val="18"/>
        </w:rPr>
      </w:pPr>
      <w:r>
        <w:rPr>
          <w:i/>
          <w:sz w:val="18"/>
          <w:szCs w:val="18"/>
        </w:rPr>
        <w:t>a tal fine, ai sensi e per gli effetti degli articoli 47 e 48 del DPR n. 445 del 28.12.2000 – Testo Unico delle disposizioni legislative e regolamentari in materia di documentazione amministrativa, consapevole delle sanzioni penali previste in caso di dich</w:t>
      </w:r>
      <w:r>
        <w:rPr>
          <w:i/>
          <w:sz w:val="18"/>
          <w:szCs w:val="18"/>
        </w:rPr>
        <w:t>iarazioni non veritiere e di falsità negli atti e della conseguente decadenza dai benefici di cui agli artt. 75 e 76 del D.P.R. 445/2000,</w:t>
      </w:r>
    </w:p>
    <w:p w:rsidR="00DE2DA8" w:rsidRDefault="00DE2DA8">
      <w:pPr>
        <w:jc w:val="center"/>
        <w:rPr>
          <w:b/>
          <w:sz w:val="24"/>
          <w:szCs w:val="24"/>
        </w:rPr>
      </w:pPr>
    </w:p>
    <w:p w:rsidR="00DE2DA8" w:rsidRDefault="00FF00E0">
      <w:pPr>
        <w:jc w:val="center"/>
        <w:rPr>
          <w:b/>
          <w:sz w:val="24"/>
          <w:szCs w:val="24"/>
        </w:rPr>
      </w:pPr>
      <w:r>
        <w:rPr>
          <w:b/>
          <w:sz w:val="24"/>
          <w:szCs w:val="24"/>
        </w:rPr>
        <w:t>DICHIARA</w:t>
      </w:r>
    </w:p>
    <w:p w:rsidR="00DE2DA8" w:rsidRDefault="00DE2DA8">
      <w:pPr>
        <w:widowControl w:val="0"/>
        <w:pBdr>
          <w:top w:val="nil"/>
          <w:left w:val="nil"/>
          <w:bottom w:val="nil"/>
          <w:right w:val="nil"/>
          <w:between w:val="nil"/>
        </w:pBdr>
        <w:spacing w:line="240" w:lineRule="auto"/>
        <w:jc w:val="center"/>
        <w:rPr>
          <w:i/>
          <w:sz w:val="18"/>
          <w:szCs w:val="18"/>
        </w:rPr>
      </w:pPr>
    </w:p>
    <w:tbl>
      <w:tblPr>
        <w:tblStyle w:val="afa"/>
        <w:tblW w:w="10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780"/>
      </w:tblGrid>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che il soggetto richiedente e il progetto/iniziativa/intervento hanno i requisiti previsti nell’Avviso rispettivamente all’art. 3 e all’art. 4</w:t>
            </w:r>
          </w:p>
        </w:tc>
      </w:tr>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 xml:space="preserve">che tutti i dati contenuti nella presente proposta e nei relativi allegati corrispondono al vero </w:t>
            </w:r>
          </w:p>
        </w:tc>
      </w:tr>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pBdr>
                <w:top w:val="nil"/>
                <w:left w:val="nil"/>
                <w:bottom w:val="nil"/>
                <w:right w:val="nil"/>
                <w:between w:val="nil"/>
              </w:pBdr>
              <w:spacing w:line="240" w:lineRule="auto"/>
            </w:pPr>
            <w:r>
              <w:t>di aver preso piena conoscenza dell’Avviso e di accettarlo integralmente</w:t>
            </w:r>
          </w:p>
        </w:tc>
      </w:tr>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spacing w:line="240" w:lineRule="auto"/>
            </w:pPr>
            <w:r>
              <w:t>che la partecipazione agli organi collegiali, anche di amministrazioni, dell’ente che rappresento, nonché la titolarità degli organi del medesimo ente è onorifica e dà luogo esclusi</w:t>
            </w:r>
            <w:r>
              <w:t xml:space="preserve">vamente ad eventuali rimborsi spese come previsto dall’art. 6 comma 2 del D.L.78/2010, convertito con L.122/2010 </w:t>
            </w:r>
            <w:r>
              <w:rPr>
                <w:i/>
                <w:sz w:val="18"/>
                <w:szCs w:val="18"/>
              </w:rPr>
              <w:t>(sono esclusi gli Enti locali)</w:t>
            </w:r>
          </w:p>
        </w:tc>
      </w:tr>
      <w:tr w:rsidR="00DE2DA8">
        <w:trPr>
          <w:trHeight w:val="477"/>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spacing w:line="240" w:lineRule="auto"/>
            </w:pPr>
            <w:r>
              <w:t>che l’ente/associazione/fondazione che rappresento è escluso dall’applicazione delle disposizioni di cui dall’</w:t>
            </w:r>
            <w:r>
              <w:t>art.6 comma 2 del D.L.78/2010, convertito con L.122/2010, in quanto trattasi di _______________________________________________________</w:t>
            </w:r>
            <w:proofErr w:type="gramStart"/>
            <w:r>
              <w:t>_</w:t>
            </w:r>
            <w:r>
              <w:rPr>
                <w:i/>
                <w:sz w:val="18"/>
                <w:szCs w:val="18"/>
              </w:rPr>
              <w:t>(</w:t>
            </w:r>
            <w:proofErr w:type="gramEnd"/>
            <w:r>
              <w:rPr>
                <w:i/>
                <w:sz w:val="18"/>
                <w:szCs w:val="18"/>
              </w:rPr>
              <w:t>sono esclusi gli Enti locali)</w:t>
            </w:r>
          </w:p>
        </w:tc>
      </w:tr>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spacing w:line="240" w:lineRule="auto"/>
              <w:jc w:val="both"/>
              <w:rPr>
                <w:i/>
                <w:sz w:val="18"/>
                <w:szCs w:val="18"/>
              </w:rPr>
            </w:pPr>
            <w:r>
              <w:t xml:space="preserve">di non versare in nessuna delle condizioni ostative alla concessione di contributo previste dall’art.1 della L.R. n.16/2018 </w:t>
            </w:r>
            <w:r>
              <w:rPr>
                <w:i/>
                <w:sz w:val="18"/>
                <w:szCs w:val="18"/>
              </w:rPr>
              <w:t>(sono esclusi gli Enti locali)</w:t>
            </w:r>
            <w:r>
              <w:rPr>
                <w:i/>
                <w:sz w:val="18"/>
                <w:szCs w:val="18"/>
              </w:rPr>
              <w:br/>
            </w:r>
            <w:r>
              <w:rPr>
                <w:rFonts w:ascii="Times New Roman" w:eastAsia="Times New Roman" w:hAnsi="Times New Roman" w:cs="Times New Roman"/>
                <w:sz w:val="16"/>
                <w:szCs w:val="16"/>
              </w:rPr>
              <w:t>art.1 Costituiscono criterio generale per la concessione, anche attraverso soggetti terzi, di sovvenz</w:t>
            </w:r>
            <w:r>
              <w:rPr>
                <w:rFonts w:ascii="Times New Roman" w:eastAsia="Times New Roman" w:hAnsi="Times New Roman" w:cs="Times New Roman"/>
                <w:sz w:val="16"/>
                <w:szCs w:val="16"/>
              </w:rPr>
              <w:t>ioni, contributi, sussidi ed ausili finanziari e vantaggi economici comunque denominati, di competenza regionale, il non aver riportato una o più condanne per delitti non colposi puniti con sentenza passata in giudicato, anche nel caso di applicazione dell</w:t>
            </w:r>
            <w:r>
              <w:rPr>
                <w:rFonts w:ascii="Times New Roman" w:eastAsia="Times New Roman" w:hAnsi="Times New Roman" w:cs="Times New Roman"/>
                <w:sz w:val="16"/>
                <w:szCs w:val="16"/>
              </w:rPr>
              <w:t xml:space="preserve">a pena su richiesta delle parti ai sensi degli articoli 444 e seguenti del codice di procedura penale, che da sole o sommate raggiungano: </w:t>
            </w:r>
            <w:r>
              <w:rPr>
                <w:rFonts w:ascii="Times New Roman" w:eastAsia="Times New Roman" w:hAnsi="Times New Roman" w:cs="Times New Roman"/>
                <w:sz w:val="16"/>
                <w:szCs w:val="16"/>
              </w:rPr>
              <w:br/>
              <w:t>a) un tempo superiore ad anni due di reclusione, sola o congiunta a pena pecuniaria, con effetti fino alla riabilitaz</w:t>
            </w:r>
            <w:r>
              <w:rPr>
                <w:rFonts w:ascii="Times New Roman" w:eastAsia="Times New Roman" w:hAnsi="Times New Roman" w:cs="Times New Roman"/>
                <w:sz w:val="16"/>
                <w:szCs w:val="16"/>
              </w:rPr>
              <w:t xml:space="preserve">ione; </w:t>
            </w:r>
            <w:r>
              <w:rPr>
                <w:rFonts w:ascii="Times New Roman" w:eastAsia="Times New Roman" w:hAnsi="Times New Roman" w:cs="Times New Roman"/>
                <w:sz w:val="16"/>
                <w:szCs w:val="16"/>
              </w:rPr>
              <w:br/>
              <w:t>b) un tempo non superiore ad anni due di reclusione, sola o congiunta a pena pecuniaria, quando non sia stato concesso il beneficio della sospensione condizionale della pena, con effetti fino alla riabilitazione o alla dichiarazione di estinzione de</w:t>
            </w:r>
            <w:r>
              <w:rPr>
                <w:rFonts w:ascii="Times New Roman" w:eastAsia="Times New Roman" w:hAnsi="Times New Roman" w:cs="Times New Roman"/>
                <w:sz w:val="16"/>
                <w:szCs w:val="16"/>
              </w:rPr>
              <w:t xml:space="preserve">l reato di cui all’articolo 445, comma 2, del codice di procedura penale. </w:t>
            </w:r>
          </w:p>
        </w:tc>
      </w:tr>
      <w:tr w:rsidR="00DE2DA8">
        <w:trPr>
          <w:jc w:val="center"/>
        </w:trPr>
        <w:tc>
          <w:tcPr>
            <w:tcW w:w="630" w:type="dxa"/>
            <w:shd w:val="clear" w:color="auto" w:fill="auto"/>
            <w:tcMar>
              <w:top w:w="100" w:type="dxa"/>
              <w:left w:w="100" w:type="dxa"/>
              <w:bottom w:w="100" w:type="dxa"/>
              <w:right w:w="100" w:type="dxa"/>
            </w:tcMar>
          </w:tcPr>
          <w:p w:rsidR="00DE2DA8" w:rsidRDefault="00DE2DA8">
            <w:pPr>
              <w:widowControl w:val="0"/>
              <w:pBdr>
                <w:top w:val="nil"/>
                <w:left w:val="nil"/>
                <w:bottom w:val="nil"/>
                <w:right w:val="nil"/>
                <w:between w:val="nil"/>
              </w:pBdr>
              <w:spacing w:line="240" w:lineRule="auto"/>
            </w:pPr>
          </w:p>
        </w:tc>
        <w:tc>
          <w:tcPr>
            <w:tcW w:w="9780" w:type="dxa"/>
            <w:shd w:val="clear" w:color="auto" w:fill="auto"/>
            <w:tcMar>
              <w:top w:w="100" w:type="dxa"/>
              <w:left w:w="100" w:type="dxa"/>
              <w:bottom w:w="100" w:type="dxa"/>
              <w:right w:w="100" w:type="dxa"/>
            </w:tcMar>
          </w:tcPr>
          <w:p w:rsidR="00DE2DA8" w:rsidRDefault="00FF00E0">
            <w:pPr>
              <w:widowControl w:val="0"/>
              <w:spacing w:line="240" w:lineRule="auto"/>
              <w:rPr>
                <w:i/>
                <w:sz w:val="18"/>
                <w:szCs w:val="18"/>
              </w:rPr>
            </w:pPr>
            <w:r>
              <w:t>di essere informato e accettare quanto indicato nell'</w:t>
            </w:r>
            <w:hyperlink r:id="rId6">
              <w:r>
                <w:rPr>
                  <w:color w:val="1155CC"/>
                  <w:u w:val="single"/>
                </w:rPr>
                <w:t>https://www.culturaveneto.it/it/footer/privacy</w:t>
              </w:r>
            </w:hyperlink>
            <w:r>
              <w:t xml:space="preserve"> </w:t>
            </w:r>
            <w:r>
              <w:br/>
            </w:r>
            <w:r>
              <w:rPr>
                <w:i/>
                <w:sz w:val="18"/>
                <w:szCs w:val="18"/>
              </w:rPr>
              <w:t xml:space="preserve">(ai sensi del Regolamento 2016/679/EU General Data Protection Regulation - GDPR) </w:t>
            </w:r>
          </w:p>
        </w:tc>
      </w:tr>
    </w:tbl>
    <w:p w:rsidR="00DE2DA8" w:rsidRDefault="00DE2DA8">
      <w:pPr>
        <w:jc w:val="center"/>
        <w:rPr>
          <w:b/>
          <w:sz w:val="24"/>
          <w:szCs w:val="24"/>
        </w:rPr>
      </w:pPr>
    </w:p>
    <w:p w:rsidR="00DE2DA8" w:rsidRDefault="00FF00E0">
      <w:pPr>
        <w:jc w:val="center"/>
        <w:rPr>
          <w:b/>
          <w:sz w:val="24"/>
          <w:szCs w:val="24"/>
        </w:rPr>
      </w:pPr>
      <w:r>
        <w:rPr>
          <w:b/>
          <w:sz w:val="24"/>
          <w:szCs w:val="24"/>
        </w:rPr>
        <w:t xml:space="preserve">ALLEGA </w:t>
      </w:r>
      <w:r>
        <w:rPr>
          <w:b/>
          <w:sz w:val="24"/>
          <w:szCs w:val="24"/>
        </w:rPr>
        <w:br/>
      </w:r>
      <w:r>
        <w:rPr>
          <w:sz w:val="24"/>
          <w:szCs w:val="24"/>
          <w:u w:val="single"/>
        </w:rPr>
        <w:t>esclusivamente in formato PDF</w:t>
      </w:r>
      <w:r>
        <w:rPr>
          <w:sz w:val="24"/>
          <w:szCs w:val="24"/>
          <w:u w:val="single"/>
        </w:rPr>
        <w:br/>
      </w:r>
      <w:r>
        <w:rPr>
          <w:sz w:val="24"/>
          <w:szCs w:val="24"/>
        </w:rPr>
        <w:t xml:space="preserve"> </w:t>
      </w:r>
    </w:p>
    <w:tbl>
      <w:tblPr>
        <w:tblStyle w:val="afb"/>
        <w:tblW w:w="102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9795"/>
      </w:tblGrid>
      <w:tr w:rsidR="00DE2DA8">
        <w:trPr>
          <w:jc w:val="center"/>
        </w:trPr>
        <w:tc>
          <w:tcPr>
            <w:tcW w:w="435" w:type="dxa"/>
            <w:shd w:val="clear" w:color="auto" w:fill="auto"/>
            <w:tcMar>
              <w:top w:w="100" w:type="dxa"/>
              <w:left w:w="100" w:type="dxa"/>
              <w:bottom w:w="100" w:type="dxa"/>
              <w:right w:w="100" w:type="dxa"/>
            </w:tcMar>
          </w:tcPr>
          <w:p w:rsidR="00DE2DA8" w:rsidRDefault="00DE2DA8">
            <w:pPr>
              <w:widowControl w:val="0"/>
              <w:spacing w:line="360" w:lineRule="auto"/>
              <w:jc w:val="center"/>
              <w:rPr>
                <w:b/>
              </w:rPr>
            </w:pPr>
          </w:p>
        </w:tc>
        <w:tc>
          <w:tcPr>
            <w:tcW w:w="9795" w:type="dxa"/>
            <w:shd w:val="clear" w:color="auto" w:fill="auto"/>
            <w:tcMar>
              <w:top w:w="100" w:type="dxa"/>
              <w:left w:w="100" w:type="dxa"/>
              <w:bottom w:w="100" w:type="dxa"/>
              <w:right w:w="100" w:type="dxa"/>
            </w:tcMar>
          </w:tcPr>
          <w:p w:rsidR="00DE2DA8" w:rsidRDefault="00FF00E0">
            <w:pPr>
              <w:jc w:val="both"/>
              <w:rPr>
                <w:rFonts w:ascii="Tahoma" w:eastAsia="Tahoma" w:hAnsi="Tahoma" w:cs="Tahoma"/>
                <w:b/>
              </w:rPr>
            </w:pPr>
            <w:r>
              <w:rPr>
                <w:rFonts w:ascii="Tahoma" w:eastAsia="Tahoma" w:hAnsi="Tahoma" w:cs="Tahoma"/>
                <w:b/>
              </w:rPr>
              <w:t>Scheda progetto</w:t>
            </w:r>
            <w:r>
              <w:rPr>
                <w:rFonts w:ascii="Tahoma" w:eastAsia="Tahoma" w:hAnsi="Tahoma" w:cs="Tahoma"/>
              </w:rPr>
              <w:t xml:space="preserve"> redatta secondo lo schema reso disponibile nella sezione “Bandi Avvisi e Concorsi” del sito istituzionale della Regione </w:t>
            </w:r>
            <w:r>
              <w:rPr>
                <w:rFonts w:ascii="Tahoma" w:eastAsia="Tahoma" w:hAnsi="Tahoma" w:cs="Tahoma"/>
                <w:b/>
              </w:rPr>
              <w:t>(Modulo B)</w:t>
            </w:r>
          </w:p>
        </w:tc>
      </w:tr>
      <w:tr w:rsidR="00DE2DA8">
        <w:trPr>
          <w:jc w:val="center"/>
        </w:trPr>
        <w:tc>
          <w:tcPr>
            <w:tcW w:w="435" w:type="dxa"/>
            <w:shd w:val="clear" w:color="auto" w:fill="auto"/>
            <w:tcMar>
              <w:top w:w="100" w:type="dxa"/>
              <w:left w:w="100" w:type="dxa"/>
              <w:bottom w:w="100" w:type="dxa"/>
              <w:right w:w="100" w:type="dxa"/>
            </w:tcMar>
          </w:tcPr>
          <w:p w:rsidR="00DE2DA8" w:rsidRDefault="00DE2DA8">
            <w:pPr>
              <w:widowControl w:val="0"/>
              <w:spacing w:line="360" w:lineRule="auto"/>
              <w:jc w:val="center"/>
              <w:rPr>
                <w:b/>
              </w:rPr>
            </w:pPr>
          </w:p>
        </w:tc>
        <w:tc>
          <w:tcPr>
            <w:tcW w:w="9795" w:type="dxa"/>
            <w:shd w:val="clear" w:color="auto" w:fill="auto"/>
            <w:tcMar>
              <w:top w:w="100" w:type="dxa"/>
              <w:left w:w="100" w:type="dxa"/>
              <w:bottom w:w="100" w:type="dxa"/>
              <w:right w:w="100" w:type="dxa"/>
            </w:tcMar>
          </w:tcPr>
          <w:p w:rsidR="00DE2DA8" w:rsidRDefault="00FF00E0">
            <w:pPr>
              <w:spacing w:line="240" w:lineRule="auto"/>
              <w:jc w:val="both"/>
              <w:rPr>
                <w:rFonts w:ascii="Tahoma" w:eastAsia="Tahoma" w:hAnsi="Tahoma" w:cs="Tahoma"/>
              </w:rPr>
            </w:pPr>
            <w:r>
              <w:rPr>
                <w:rFonts w:ascii="Tahoma" w:eastAsia="Tahoma" w:hAnsi="Tahoma" w:cs="Tahoma"/>
                <w:b/>
              </w:rPr>
              <w:t>Copia dell’Atto costitutivo e Statuto</w:t>
            </w:r>
            <w:r>
              <w:rPr>
                <w:rFonts w:ascii="Tahoma" w:eastAsia="Tahoma" w:hAnsi="Tahoma" w:cs="Tahoma"/>
              </w:rPr>
              <w:t xml:space="preserve"> redatti in forma pubblica o scrittura privata registrata dal soggetto proponente, qu</w:t>
            </w:r>
            <w:r>
              <w:rPr>
                <w:rFonts w:ascii="Tahoma" w:eastAsia="Tahoma" w:hAnsi="Tahoma" w:cs="Tahoma"/>
              </w:rPr>
              <w:t>alora esso non sia un ente locale e qualora non già in possesso dell’Amministrazione regionale</w:t>
            </w:r>
          </w:p>
        </w:tc>
      </w:tr>
      <w:tr w:rsidR="00DE2DA8">
        <w:trPr>
          <w:jc w:val="center"/>
        </w:trPr>
        <w:tc>
          <w:tcPr>
            <w:tcW w:w="435" w:type="dxa"/>
            <w:shd w:val="clear" w:color="auto" w:fill="auto"/>
            <w:tcMar>
              <w:top w:w="100" w:type="dxa"/>
              <w:left w:w="100" w:type="dxa"/>
              <w:bottom w:w="100" w:type="dxa"/>
              <w:right w:w="100" w:type="dxa"/>
            </w:tcMar>
          </w:tcPr>
          <w:p w:rsidR="00DE2DA8" w:rsidRDefault="00DE2DA8">
            <w:pPr>
              <w:widowControl w:val="0"/>
              <w:spacing w:line="360" w:lineRule="auto"/>
              <w:jc w:val="center"/>
              <w:rPr>
                <w:b/>
              </w:rPr>
            </w:pPr>
          </w:p>
        </w:tc>
        <w:tc>
          <w:tcPr>
            <w:tcW w:w="9795" w:type="dxa"/>
            <w:shd w:val="clear" w:color="auto" w:fill="auto"/>
            <w:tcMar>
              <w:top w:w="100" w:type="dxa"/>
              <w:left w:w="100" w:type="dxa"/>
              <w:bottom w:w="100" w:type="dxa"/>
              <w:right w:w="100" w:type="dxa"/>
            </w:tcMar>
          </w:tcPr>
          <w:p w:rsidR="00DE2DA8" w:rsidRDefault="00FF00E0">
            <w:pPr>
              <w:spacing w:line="240" w:lineRule="auto"/>
              <w:jc w:val="both"/>
              <w:rPr>
                <w:rFonts w:ascii="Times New Roman" w:eastAsia="Times New Roman" w:hAnsi="Times New Roman" w:cs="Times New Roman"/>
                <w:i/>
              </w:rPr>
            </w:pPr>
            <w:r>
              <w:rPr>
                <w:rFonts w:ascii="Tahoma" w:eastAsia="Tahoma" w:hAnsi="Tahoma" w:cs="Tahoma"/>
                <w:b/>
              </w:rPr>
              <w:t>Copia fotostatica di un documento di identità del sottoscrittore</w:t>
            </w:r>
            <w:r>
              <w:rPr>
                <w:rFonts w:ascii="Tahoma" w:eastAsia="Tahoma" w:hAnsi="Tahoma" w:cs="Tahoma"/>
              </w:rPr>
              <w:t xml:space="preserve"> in corso di validità </w:t>
            </w:r>
            <w:r>
              <w:rPr>
                <w:rFonts w:ascii="Tahoma" w:eastAsia="Tahoma" w:hAnsi="Tahoma" w:cs="Tahoma"/>
                <w:i/>
              </w:rPr>
              <w:t>(solo per gli enti privati, in caso di firma non digitale)</w:t>
            </w:r>
          </w:p>
        </w:tc>
      </w:tr>
    </w:tbl>
    <w:p w:rsidR="00DE2DA8" w:rsidRDefault="00DE2DA8">
      <w:pPr>
        <w:rPr>
          <w:b/>
        </w:rPr>
      </w:pPr>
    </w:p>
    <w:p w:rsidR="00DE2DA8" w:rsidRDefault="00DE2DA8">
      <w:pPr>
        <w:rPr>
          <w:b/>
        </w:rPr>
      </w:pPr>
    </w:p>
    <w:tbl>
      <w:tblPr>
        <w:tblStyle w:val="afc"/>
        <w:tblW w:w="1030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7485"/>
      </w:tblGrid>
      <w:tr w:rsidR="00DE2DA8">
        <w:tc>
          <w:tcPr>
            <w:tcW w:w="2820" w:type="dxa"/>
            <w:shd w:val="clear" w:color="auto" w:fill="auto"/>
            <w:tcMar>
              <w:top w:w="100" w:type="dxa"/>
              <w:left w:w="100" w:type="dxa"/>
              <w:bottom w:w="100" w:type="dxa"/>
              <w:right w:w="100" w:type="dxa"/>
            </w:tcMar>
          </w:tcPr>
          <w:p w:rsidR="00DE2DA8" w:rsidRDefault="00FF00E0">
            <w:pPr>
              <w:widowControl w:val="0"/>
              <w:spacing w:line="240" w:lineRule="auto"/>
              <w:rPr>
                <w:b/>
              </w:rPr>
            </w:pPr>
            <w:r>
              <w:rPr>
                <w:b/>
              </w:rPr>
              <w:t>DATA E LUOG</w:t>
            </w:r>
            <w:r>
              <w:rPr>
                <w:b/>
              </w:rPr>
              <w:t xml:space="preserve">O </w:t>
            </w:r>
          </w:p>
        </w:tc>
        <w:tc>
          <w:tcPr>
            <w:tcW w:w="7485" w:type="dxa"/>
            <w:shd w:val="clear" w:color="auto" w:fill="auto"/>
            <w:tcMar>
              <w:top w:w="100" w:type="dxa"/>
              <w:left w:w="100" w:type="dxa"/>
              <w:bottom w:w="100" w:type="dxa"/>
              <w:right w:w="100" w:type="dxa"/>
            </w:tcMar>
          </w:tcPr>
          <w:p w:rsidR="00DE2DA8" w:rsidRDefault="00FF00E0">
            <w:pPr>
              <w:widowControl w:val="0"/>
              <w:spacing w:line="240" w:lineRule="auto"/>
              <w:jc w:val="both"/>
              <w:rPr>
                <w:i/>
              </w:rPr>
            </w:pPr>
            <w:r>
              <w:rPr>
                <w:b/>
              </w:rPr>
              <w:t xml:space="preserve">FIRMA </w:t>
            </w:r>
            <w:r>
              <w:rPr>
                <w:i/>
              </w:rPr>
              <w:t>(digitale o sottoscrizione autografa e conversione del modulo in rappresentazione digitale con estensione pdf)</w:t>
            </w:r>
          </w:p>
        </w:tc>
      </w:tr>
      <w:tr w:rsidR="00DE2DA8">
        <w:tc>
          <w:tcPr>
            <w:tcW w:w="2820" w:type="dxa"/>
            <w:shd w:val="clear" w:color="auto" w:fill="auto"/>
            <w:tcMar>
              <w:top w:w="100" w:type="dxa"/>
              <w:left w:w="100" w:type="dxa"/>
              <w:bottom w:w="100" w:type="dxa"/>
              <w:right w:w="100" w:type="dxa"/>
            </w:tcMar>
          </w:tcPr>
          <w:p w:rsidR="00DE2DA8" w:rsidRDefault="00DE2DA8">
            <w:pPr>
              <w:widowControl w:val="0"/>
              <w:spacing w:line="240" w:lineRule="auto"/>
              <w:rPr>
                <w:b/>
              </w:rPr>
            </w:pPr>
          </w:p>
        </w:tc>
        <w:tc>
          <w:tcPr>
            <w:tcW w:w="7485" w:type="dxa"/>
            <w:shd w:val="clear" w:color="auto" w:fill="auto"/>
            <w:tcMar>
              <w:top w:w="100" w:type="dxa"/>
              <w:left w:w="100" w:type="dxa"/>
              <w:bottom w:w="100" w:type="dxa"/>
              <w:right w:w="100" w:type="dxa"/>
            </w:tcMar>
          </w:tcPr>
          <w:p w:rsidR="00DE2DA8" w:rsidRDefault="00DE2DA8">
            <w:pPr>
              <w:widowControl w:val="0"/>
              <w:spacing w:line="240" w:lineRule="auto"/>
              <w:rPr>
                <w:b/>
              </w:rPr>
            </w:pPr>
          </w:p>
        </w:tc>
      </w:tr>
    </w:tbl>
    <w:p w:rsidR="00DE2DA8" w:rsidRDefault="00DE2DA8">
      <w:pPr>
        <w:rPr>
          <w:i/>
        </w:rPr>
      </w:pPr>
    </w:p>
    <w:tbl>
      <w:tblPr>
        <w:tblStyle w:val="afd"/>
        <w:tblW w:w="102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65"/>
        <w:gridCol w:w="3795"/>
      </w:tblGrid>
      <w:tr w:rsidR="00DE2DA8">
        <w:tc>
          <w:tcPr>
            <w:tcW w:w="6465" w:type="dxa"/>
            <w:shd w:val="clear" w:color="auto" w:fill="auto"/>
            <w:tcMar>
              <w:top w:w="100" w:type="dxa"/>
              <w:left w:w="100" w:type="dxa"/>
              <w:bottom w:w="100" w:type="dxa"/>
              <w:right w:w="100" w:type="dxa"/>
            </w:tcMar>
          </w:tcPr>
          <w:p w:rsidR="00DE2DA8" w:rsidRDefault="00FF00E0">
            <w:pPr>
              <w:widowControl w:val="0"/>
              <w:spacing w:line="240" w:lineRule="auto"/>
              <w:rPr>
                <w:i/>
              </w:rPr>
            </w:pPr>
            <w:r>
              <w:rPr>
                <w:i/>
              </w:rPr>
              <w:t>Specificare il numero di allegati alla domanda</w:t>
            </w:r>
          </w:p>
        </w:tc>
        <w:tc>
          <w:tcPr>
            <w:tcW w:w="3795" w:type="dxa"/>
            <w:shd w:val="clear" w:color="auto" w:fill="auto"/>
            <w:tcMar>
              <w:top w:w="100" w:type="dxa"/>
              <w:left w:w="100" w:type="dxa"/>
              <w:bottom w:w="100" w:type="dxa"/>
              <w:right w:w="100" w:type="dxa"/>
            </w:tcMar>
          </w:tcPr>
          <w:p w:rsidR="00DE2DA8" w:rsidRDefault="00FF00E0">
            <w:pPr>
              <w:widowControl w:val="0"/>
              <w:spacing w:line="240" w:lineRule="auto"/>
              <w:rPr>
                <w:i/>
              </w:rPr>
            </w:pPr>
            <w:r>
              <w:rPr>
                <w:i/>
              </w:rPr>
              <w:t xml:space="preserve">n. </w:t>
            </w:r>
          </w:p>
        </w:tc>
      </w:tr>
    </w:tbl>
    <w:p w:rsidR="00DE2DA8" w:rsidRDefault="00DE2DA8">
      <w:pPr>
        <w:rPr>
          <w:i/>
          <w:sz w:val="16"/>
          <w:szCs w:val="16"/>
        </w:rPr>
      </w:pPr>
    </w:p>
    <w:p w:rsidR="00DE2DA8" w:rsidRDefault="00DE2DA8">
      <w:pPr>
        <w:rPr>
          <w:i/>
          <w:sz w:val="24"/>
          <w:szCs w:val="24"/>
        </w:rPr>
      </w:pPr>
    </w:p>
    <w:sectPr w:rsidR="00DE2DA8">
      <w:pgSz w:w="11909" w:h="16834"/>
      <w:pgMar w:top="992" w:right="992" w:bottom="992"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64292"/>
    <w:multiLevelType w:val="multilevel"/>
    <w:tmpl w:val="31142F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C847B1D"/>
    <w:multiLevelType w:val="multilevel"/>
    <w:tmpl w:val="C2A4AF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3687BBB"/>
    <w:multiLevelType w:val="multilevel"/>
    <w:tmpl w:val="36CC8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C490BC8"/>
    <w:multiLevelType w:val="multilevel"/>
    <w:tmpl w:val="44BEB5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E334CBE"/>
    <w:multiLevelType w:val="multilevel"/>
    <w:tmpl w:val="940C3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A8"/>
    <w:rsid w:val="00DE2DA8"/>
    <w:rsid w:val="00FF00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5AE6"/>
  <w15:docId w15:val="{90E9DF52-38FF-49C4-BDE7-99683B6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ulturaveneto.it/it/footer/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iUzGNE+3h+PHObyI60RykC01DQ==">AMUW2mW0QGku7os7rKurlmDLdng7fkRPDT8VtKChVuHVloZJpYnekEfBBXajk8SPTQyqT2rw5oLU5xLtakCv7eHha9VWiiG9axGKmG9IwRJlJtsrjEKtrSc=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6961</Characters>
  <Application>Microsoft Office Word</Application>
  <DocSecurity>0</DocSecurity>
  <Lines>58</Lines>
  <Paragraphs>16</Paragraphs>
  <ScaleCrop>false</ScaleCrop>
  <Company>Regione del Veneto</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Zucca</cp:lastModifiedBy>
  <cp:revision>2</cp:revision>
  <dcterms:created xsi:type="dcterms:W3CDTF">2022-08-11T09:28:00Z</dcterms:created>
  <dcterms:modified xsi:type="dcterms:W3CDTF">2022-08-11T09:28:00Z</dcterms:modified>
</cp:coreProperties>
</file>