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91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DICHIARAZIONE SOSTITUTIVA DI CERTIFICAZIONE E DELL’ATTO DI NOTORIETÀ</w:t>
      </w:r>
    </w:p>
    <w:p w:rsidR="00081091" w:rsidRPr="007D0C34" w:rsidRDefault="00081091" w:rsidP="0008109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(rilasciata ai sensi degli artt. </w:t>
      </w:r>
      <w:r w:rsidR="004827A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46,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47 e 48 del D.P.R. n. 445 del 28/12/2000)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76D9C" w:rsidP="00B730F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Il sottoscritto</w:t>
      </w:r>
      <w:r w:rsidR="00B730F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B730FC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30FC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B730FC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B730FC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B730FC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B730FC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B730FC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B730FC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B730FC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B730FC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nato a </w:t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0" w:name="Testo2"/>
      <w:r w:rsidR="003547BA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3547BA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0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il 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" w:name="Testo3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1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C.F. 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2" w:name="Testo4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2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residente in 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3"/>
      <w:r w:rsidR="0008109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qualità di legale rappresentante di 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4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con sede legale in 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5" w:name="Testo7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5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C.F./P.IVA 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6" w:name="Testo8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081091" w:rsidRPr="007D0C34"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6"/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, consapevole delle sanzioni penali e civili, nel caso di dichiarazioni mendaci, di formazione o uso di atti falsi, richiamate dall’art. 76 del D.P.R. n. 445 del 28/12/2000, sotto la propria responsabilità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2806D8" w:rsidRPr="002806D8" w:rsidRDefault="002806D8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dichiara</w:t>
      </w:r>
    </w:p>
    <w:p w:rsidR="002806D8" w:rsidRDefault="002806D8" w:rsidP="00FE45AD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E45AD" w:rsidRPr="00FE45AD" w:rsidRDefault="004827AE" w:rsidP="00FE45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2806D8">
        <w:rPr>
          <w:rFonts w:ascii="Times New Roman" w:hAnsi="Times New Roman"/>
          <w:sz w:val="22"/>
          <w:szCs w:val="22"/>
        </w:rPr>
        <w:t>ai sensi del D</w:t>
      </w:r>
      <w:r w:rsidR="00AB0FEE" w:rsidRPr="002806D8">
        <w:rPr>
          <w:rFonts w:ascii="Times New Roman" w:hAnsi="Times New Roman"/>
          <w:sz w:val="22"/>
          <w:szCs w:val="22"/>
        </w:rPr>
        <w:t xml:space="preserve">ecreto legislativo </w:t>
      </w:r>
      <w:r w:rsidR="00FE45AD" w:rsidRPr="002806D8">
        <w:rPr>
          <w:rFonts w:ascii="Times New Roman" w:hAnsi="Times New Roman"/>
          <w:sz w:val="22"/>
          <w:szCs w:val="22"/>
        </w:rPr>
        <w:t>6 settembre 2011  n. 159</w:t>
      </w:r>
      <w:r w:rsidR="00AB0FEE" w:rsidRPr="002806D8">
        <w:rPr>
          <w:rFonts w:ascii="Times New Roman" w:hAnsi="Times New Roman"/>
          <w:sz w:val="22"/>
          <w:szCs w:val="22"/>
        </w:rPr>
        <w:t xml:space="preserve"> e s.m.i. “</w:t>
      </w:r>
      <w:r w:rsidR="00AB0FEE" w:rsidRPr="002806D8">
        <w:rPr>
          <w:rFonts w:ascii="Times New Roman" w:hAnsi="Times New Roman"/>
          <w:i/>
          <w:sz w:val="22"/>
          <w:szCs w:val="22"/>
        </w:rPr>
        <w:t>Codice delle leggi antimafia e delle misure di prevenzione, nonché nuove disposizioni in materia di documentazione antimafia, a norma degli articoli 1 e 2 della legge 13 agosto 2010, n. 136</w:t>
      </w:r>
      <w:r w:rsidR="00AB0FEE" w:rsidRPr="002806D8">
        <w:rPr>
          <w:rFonts w:ascii="Times New Roman" w:hAnsi="Times New Roman"/>
          <w:sz w:val="22"/>
          <w:szCs w:val="22"/>
        </w:rPr>
        <w:t>”,</w:t>
      </w:r>
      <w:r w:rsidR="00AB0FEE">
        <w:rPr>
          <w:rFonts w:ascii="Times New Roman" w:hAnsi="Times New Roman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che </w:t>
      </w:r>
      <w:r w:rsidR="00081091" w:rsidRPr="007D0C3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nei confronti </w:t>
      </w:r>
      <w:r w:rsidR="00DE06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di ognuno dei seguenti soggetti</w:t>
      </w:r>
      <w:r w:rsidR="00E12C74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E12C74">
        <w:rPr>
          <w:rStyle w:val="Rimandonotaapidipagina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1"/>
      </w:r>
      <w:r w:rsidR="007A64E9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-</w:t>
      </w:r>
      <w:r w:rsidR="00E12C74">
        <w:rPr>
          <w:rStyle w:val="Rimandonotaapidipagina"/>
          <w:rFonts w:ascii="Times New Roman" w:eastAsia="Calibri" w:hAnsi="Times New Roman" w:cs="Times New Roman"/>
          <w:b/>
          <w:sz w:val="22"/>
          <w:szCs w:val="22"/>
          <w:lang w:eastAsia="en-US"/>
        </w:rPr>
        <w:footnoteReference w:id="2"/>
      </w:r>
      <w:r w:rsidR="00DE06F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="00CB6C4E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081091"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non sussistono le cause di divieto, di decadenza o di sospensione </w:t>
      </w:r>
      <w:r w:rsidR="00CB6C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di cui all’art. 67 del </w:t>
      </w:r>
      <w:r w:rsidR="00AB0FEE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predetto</w:t>
      </w:r>
      <w:r w:rsidR="00AB0FE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CB6C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D.Lgs. n. </w:t>
      </w:r>
      <w:r w:rsidR="00FE45AD">
        <w:rPr>
          <w:rFonts w:ascii="Times New Roman" w:hAnsi="Times New Roman" w:cs="Times New Roman"/>
          <w:sz w:val="22"/>
          <w:szCs w:val="22"/>
        </w:rPr>
        <w:t>159/2011</w:t>
      </w:r>
      <w:r w:rsidR="002806D8">
        <w:rPr>
          <w:rFonts w:ascii="Times New Roman" w:hAnsi="Times New Roman" w:cs="Times New Roman"/>
          <w:sz w:val="22"/>
          <w:szCs w:val="22"/>
        </w:rPr>
        <w:t>:</w:t>
      </w:r>
      <w:r w:rsidR="00FE45A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FEE" w:rsidRPr="007D0C34" w:rsidRDefault="00AB0FEE" w:rsidP="000810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2977"/>
        <w:gridCol w:w="2409"/>
      </w:tblGrid>
      <w:tr w:rsidR="00081091" w:rsidRPr="005B1F1F" w:rsidTr="00414882">
        <w:trPr>
          <w:trHeight w:val="481"/>
        </w:trPr>
        <w:tc>
          <w:tcPr>
            <w:tcW w:w="2694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COGNOME E NOME</w:t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CARICA</w:t>
            </w:r>
            <w:r w:rsidR="00897E61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O QUALIFICA</w:t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409" w:type="dxa"/>
          </w:tcPr>
          <w:p w:rsidR="00081091" w:rsidRPr="005B1F1F" w:rsidRDefault="00081091" w:rsidP="004148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CODICE FISCALE</w:t>
            </w:r>
          </w:p>
        </w:tc>
      </w:tr>
      <w:tr w:rsidR="00081091" w:rsidRPr="005B1F1F" w:rsidTr="00414882">
        <w:trPr>
          <w:trHeight w:val="248"/>
        </w:trPr>
        <w:tc>
          <w:tcPr>
            <w:tcW w:w="2694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bookmarkStart w:id="7" w:name="_GoBack"/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bookmarkEnd w:id="7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854FC9" w:rsidP="00CB6C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33"/>
        </w:trPr>
        <w:tc>
          <w:tcPr>
            <w:tcW w:w="2694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7A64E9" w:rsidRPr="005B1F1F" w:rsidTr="00A468D3">
        <w:trPr>
          <w:trHeight w:val="233"/>
        </w:trPr>
        <w:tc>
          <w:tcPr>
            <w:tcW w:w="2694" w:type="dxa"/>
            <w:shd w:val="clear" w:color="auto" w:fill="auto"/>
          </w:tcPr>
          <w:p w:rsidR="007A64E9" w:rsidRPr="005B1F1F" w:rsidRDefault="00854FC9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7A64E9" w:rsidRPr="005B1F1F" w:rsidRDefault="00854FC9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7A64E9" w:rsidRPr="005B1F1F" w:rsidRDefault="00854FC9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7A64E9" w:rsidRPr="005B1F1F" w:rsidRDefault="00854FC9" w:rsidP="00A468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33"/>
        </w:trPr>
        <w:tc>
          <w:tcPr>
            <w:tcW w:w="2694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81091" w:rsidRPr="005B1F1F" w:rsidTr="00414882">
        <w:trPr>
          <w:trHeight w:val="248"/>
        </w:trPr>
        <w:tc>
          <w:tcPr>
            <w:tcW w:w="2694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409" w:type="dxa"/>
          </w:tcPr>
          <w:p w:rsidR="00081091" w:rsidRPr="005B1F1F" w:rsidRDefault="00854FC9" w:rsidP="0041488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3547B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 w:rsidR="003547BA">
              <w:rPr>
                <w:rFonts w:ascii="Times New Roman" w:eastAsia="Calibri" w:hAnsi="Times New Roman" w:cs="Times New Roman"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06D8" w:rsidRPr="002806D8" w:rsidRDefault="00FE45AD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</w:t>
      </w:r>
      <w:r w:rsidR="00AB0FEE"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ichiara</w:t>
      </w:r>
    </w:p>
    <w:p w:rsidR="002806D8" w:rsidRDefault="002806D8" w:rsidP="002806D8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B0FEE" w:rsidRDefault="00FE45AD" w:rsidP="002806D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ai sensi</w:t>
      </w:r>
      <w:r w:rsidR="00AB0FEE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della Legge regionale 11 maggio 2018, n.16 che </w:t>
      </w:r>
      <w:r w:rsidR="00D954FD"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i</w:t>
      </w:r>
      <w:r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soggetti</w:t>
      </w:r>
      <w:r w:rsidR="00D954FD" w:rsidRPr="002806D8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sopra indicati</w:t>
      </w:r>
      <w:r w:rsidR="00D954FD" w:rsidRPr="002806D8">
        <w:rPr>
          <w:rFonts w:ascii="Times New Roman" w:eastAsia="Calibri" w:hAnsi="Times New Roman" w:cs="Times New Roman"/>
          <w:sz w:val="22"/>
          <w:szCs w:val="22"/>
          <w:lang w:eastAsia="en-US"/>
        </w:rPr>
        <w:t>:</w:t>
      </w:r>
    </w:p>
    <w:p w:rsidR="00AB0FEE" w:rsidRDefault="00AB0FEE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081091" w:rsidRPr="007D0C34" w:rsidRDefault="00081091" w:rsidP="00081091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a) un tempo superiore ad anni due di reclusione, sola o congiunta a pena pecuniaria, con effetti fino alla riabilitazione;</w:t>
      </w:r>
    </w:p>
    <w:p w:rsidR="00081091" w:rsidRPr="007D0C34" w:rsidRDefault="00081091" w:rsidP="00081091">
      <w:pPr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giudice dell’esecuzione, in applicazione degli articoli 445, comma 2, e 460, comma 5, del codice di procedura penale;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2806D8" w:rsidRPr="002806D8" w:rsidRDefault="00081091" w:rsidP="002806D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</w:pPr>
      <w:r w:rsidRPr="002806D8">
        <w:rPr>
          <w:rFonts w:ascii="Times New Roman" w:eastAsia="Calibri" w:hAnsi="Times New Roman" w:cs="Times New Roman"/>
          <w:b/>
          <w:caps/>
          <w:sz w:val="22"/>
          <w:szCs w:val="22"/>
          <w:lang w:eastAsia="en-US"/>
        </w:rPr>
        <w:t>Dichiara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D0C34">
        <w:rPr>
          <w:rFonts w:ascii="Times New Roman" w:hAnsi="Times New Roman" w:cs="Times New Roman"/>
          <w:sz w:val="22"/>
          <w:szCs w:val="22"/>
        </w:rPr>
        <w:t>- d</w:t>
      </w: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che la società (l’ente fornito di personalità giuridica, l’associazione anche priva di personalità giuridica </w:t>
      </w:r>
      <w:proofErr w:type="gramStart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richiedente)  non</w:t>
      </w:r>
      <w:proofErr w:type="gramEnd"/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D0C34">
        <w:rPr>
          <w:rFonts w:ascii="Times New Roman" w:eastAsia="Calibri" w:hAnsi="Times New Roman" w:cs="Times New Roman"/>
          <w:sz w:val="22"/>
          <w:szCs w:val="22"/>
          <w:lang w:eastAsia="en-US"/>
        </w:rPr>
        <w:t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 w:rsidR="00E12C74">
        <w:rPr>
          <w:rStyle w:val="Rimandonotaapidipagina"/>
          <w:rFonts w:ascii="Times New Roman" w:eastAsia="Calibri" w:hAnsi="Times New Roman" w:cs="Times New Roman"/>
          <w:sz w:val="22"/>
          <w:szCs w:val="22"/>
          <w:lang w:eastAsia="en-US"/>
        </w:rPr>
        <w:footnoteReference w:id="3"/>
      </w: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7D0C34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Data </w:t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>
        <w:rPr>
          <w:rFonts w:ascii="Times New Roman" w:eastAsia="Calibri" w:hAnsi="Times New Roman" w:cs="Times New Roman"/>
          <w:sz w:val="22"/>
          <w:szCs w:val="22"/>
          <w:lang w:eastAsia="en-US"/>
        </w:rPr>
        <w:instrText xml:space="preserve"> FORMTEXT </w:instrText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separate"/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>
        <w:rPr>
          <w:rFonts w:ascii="Times New Roman" w:eastAsia="Calibri" w:hAnsi="Times New Roman" w:cs="Times New Roman"/>
          <w:noProof/>
          <w:sz w:val="22"/>
          <w:szCs w:val="22"/>
          <w:lang w:eastAsia="en-US"/>
        </w:rPr>
        <w:t> </w:t>
      </w:r>
      <w:r w:rsidR="00854FC9">
        <w:rPr>
          <w:rFonts w:ascii="Times New Roman" w:eastAsia="Calibri" w:hAnsi="Times New Roman" w:cs="Times New Roman"/>
          <w:sz w:val="22"/>
          <w:szCs w:val="22"/>
          <w:lang w:eastAsia="en-US"/>
        </w:rPr>
        <w:fldChar w:fldCharType="end"/>
      </w:r>
      <w:bookmarkEnd w:id="8"/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            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>Firma ____________________________</w:t>
      </w: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Pr="005B1F1F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081091" w:rsidRDefault="00081091" w:rsidP="0008109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Ai fini della validità della presente dichiarazione deve essere allegata la fotocopia, non autenticata, del documento di identità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in corso di validità, </w:t>
      </w:r>
      <w:r w:rsidRPr="005B1F1F">
        <w:rPr>
          <w:rFonts w:ascii="Times New Roman" w:eastAsia="Calibri" w:hAnsi="Times New Roman" w:cs="Times New Roman"/>
          <w:sz w:val="22"/>
          <w:szCs w:val="22"/>
          <w:lang w:eastAsia="en-US"/>
        </w:rPr>
        <w:t>del sottoscrittore.</w:t>
      </w:r>
    </w:p>
    <w:p w:rsidR="009D1E48" w:rsidRDefault="009D1E48">
      <w:pPr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br w:type="page"/>
      </w:r>
    </w:p>
    <w:p w:rsidR="006C31FC" w:rsidRPr="006C31FC" w:rsidRDefault="006C31FC" w:rsidP="006C31FC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</w:pPr>
      <w:r w:rsidRPr="006C31FC">
        <w:rPr>
          <w:rFonts w:ascii="Times New Roman" w:hAnsi="Times New Roman" w:cs="Times New Roman"/>
          <w:b/>
          <w:color w:val="auto"/>
          <w:sz w:val="20"/>
          <w:szCs w:val="20"/>
          <w:u w:val="single"/>
        </w:rPr>
        <w:lastRenderedPageBreak/>
        <w:t>NOTE</w:t>
      </w:r>
    </w:p>
    <w:p w:rsidR="002806D8" w:rsidRPr="002806D8" w:rsidRDefault="002806D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 xml:space="preserve">La comunicazione antimafia consiste nell’attestazione della sussistenza o meno di una delle cause di decadenza, di sospensione o di divieto di cui all’art. 67 del </w:t>
      </w:r>
      <w:proofErr w:type="gramStart"/>
      <w:r w:rsidRPr="002806D8">
        <w:rPr>
          <w:rFonts w:ascii="Times New Roman" w:hAnsi="Times New Roman"/>
          <w:sz w:val="20"/>
          <w:szCs w:val="20"/>
        </w:rPr>
        <w:t>D.Lgs</w:t>
      </w:r>
      <w:proofErr w:type="gramEnd"/>
      <w:r w:rsidRPr="002806D8">
        <w:rPr>
          <w:rFonts w:ascii="Times New Roman" w:hAnsi="Times New Roman"/>
          <w:sz w:val="20"/>
          <w:szCs w:val="20"/>
        </w:rPr>
        <w:t>. 159/2011.</w:t>
      </w:r>
    </w:p>
    <w:p w:rsidR="002806D8" w:rsidRPr="002806D8" w:rsidRDefault="002806D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 xml:space="preserve">Cause ostative al rilascio della comunicazione antimafia (art. 67, commi 1 e 8 del </w:t>
      </w:r>
      <w:proofErr w:type="gramStart"/>
      <w:r w:rsidRPr="002806D8">
        <w:rPr>
          <w:rFonts w:ascii="Times New Roman" w:hAnsi="Times New Roman"/>
          <w:sz w:val="20"/>
          <w:szCs w:val="20"/>
        </w:rPr>
        <w:t>D.Lgs</w:t>
      </w:r>
      <w:proofErr w:type="gramEnd"/>
      <w:r w:rsidRPr="002806D8">
        <w:rPr>
          <w:rFonts w:ascii="Times New Roman" w:hAnsi="Times New Roman"/>
          <w:sz w:val="20"/>
          <w:szCs w:val="20"/>
        </w:rPr>
        <w:t>. 159/2011) sono le seguenti:</w:t>
      </w:r>
    </w:p>
    <w:p w:rsidR="002806D8" w:rsidRPr="002806D8" w:rsidRDefault="002806D8" w:rsidP="002806D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 xml:space="preserve">Provvedimenti definitivi di applicazione delle misure di prevenzione di cui all’art. 5 del </w:t>
      </w:r>
      <w:proofErr w:type="gramStart"/>
      <w:r w:rsidRPr="002806D8">
        <w:rPr>
          <w:rFonts w:ascii="Times New Roman" w:hAnsi="Times New Roman"/>
          <w:sz w:val="20"/>
          <w:szCs w:val="20"/>
        </w:rPr>
        <w:t>D.Lgs</w:t>
      </w:r>
      <w:proofErr w:type="gramEnd"/>
      <w:r w:rsidRPr="002806D8">
        <w:rPr>
          <w:rFonts w:ascii="Times New Roman" w:hAnsi="Times New Roman"/>
          <w:sz w:val="20"/>
          <w:szCs w:val="20"/>
        </w:rPr>
        <w:t>. 159/2011;</w:t>
      </w:r>
    </w:p>
    <w:p w:rsidR="002806D8" w:rsidRPr="002806D8" w:rsidRDefault="002806D8" w:rsidP="002806D8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Condanne con sentenza definitiva o confermata in appello per taluno dei delitti consumati o tentati elencati all’ art.51, comma 3bis c.p.p. nonché per i reati di cui all’art. 640, comma 2, n. 1), c.p., commesso a danno dello Stato o di un altro Ente pubblico, e all’art. 640-bis c.p.</w:t>
      </w:r>
    </w:p>
    <w:p w:rsidR="009D1E48" w:rsidRPr="002806D8" w:rsidRDefault="009D1E48" w:rsidP="009D1E48">
      <w:pPr>
        <w:pStyle w:val="Paragrafoelenco"/>
        <w:jc w:val="both"/>
        <w:rPr>
          <w:rFonts w:ascii="Times New Roman" w:hAnsi="Times New Roman"/>
          <w:sz w:val="20"/>
          <w:szCs w:val="20"/>
        </w:rPr>
      </w:pPr>
      <w:r w:rsidRPr="002806D8">
        <w:rPr>
          <w:rFonts w:ascii="Times New Roman" w:hAnsi="Times New Roman"/>
          <w:sz w:val="20"/>
          <w:szCs w:val="20"/>
        </w:rPr>
        <w:t>Ai sensi dell’art. 85 del D. Lgs. 159/2011 i soggetti sottoposti alla verifica antimafia</w:t>
      </w:r>
      <w:r w:rsidR="002806D8" w:rsidRPr="002806D8">
        <w:rPr>
          <w:rFonts w:ascii="Times New Roman" w:hAnsi="Times New Roman"/>
          <w:sz w:val="20"/>
          <w:szCs w:val="20"/>
        </w:rPr>
        <w:t xml:space="preserve"> sono i seguenti:</w:t>
      </w:r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5812"/>
      </w:tblGrid>
      <w:tr w:rsidR="009D1E48" w:rsidRPr="00B74A4A" w:rsidTr="007D0D6F">
        <w:trPr>
          <w:trHeight w:val="379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Imprese individuali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Titolare dell’impresa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</w:tc>
      </w:tr>
      <w:tr w:rsidR="009D1E48" w:rsidRPr="00B74A4A" w:rsidTr="007D0D6F">
        <w:trPr>
          <w:trHeight w:val="620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Associazioni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Legali rappresentanti 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dei revisori dei conti o sindacale (se previsti)   ***</w:t>
            </w:r>
          </w:p>
        </w:tc>
      </w:tr>
      <w:tr w:rsidR="009D1E48" w:rsidRPr="00B74A4A" w:rsidTr="007D0D6F">
        <w:trPr>
          <w:trHeight w:val="1586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di capitali o cooperative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Legale rappresentante 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Amministratori (presidente del CdA/amministratore delegato, consiglieri) **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Socio di maggioranza (nelle società con un numero di soci pari o inferiore a 4)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5. Socio (in caso di società unipersonale)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 Membri del collegio sindacale o, nei casi contemplati dall’ art. 2477 del codice civile, al sindaco, nonché ai soggetti che svolgono i compiti di vigilanza di cui all’art. 6, comma 1, lettera b) del D.lgs 231/2001;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semplice e in nome collettivo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Tutti i soci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in accomandita semplice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Soci accomandatari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2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con sede secondaria in Italia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le rappresentano stabilmente in Italia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Direttore tecnico (se previsto) </w:t>
            </w:r>
          </w:p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Membri del collegio sindacale (se previsti) ***</w:t>
            </w:r>
          </w:p>
        </w:tc>
      </w:tr>
      <w:tr w:rsidR="009D1E48" w:rsidRPr="00B74A4A" w:rsidTr="007D0D6F">
        <w:trPr>
          <w:trHeight w:val="513"/>
        </w:trPr>
        <w:tc>
          <w:tcPr>
            <w:tcW w:w="3260" w:type="dxa"/>
          </w:tcPr>
          <w:p w:rsidR="009D1E48" w:rsidRPr="00B74A4A" w:rsidRDefault="009D1E48" w:rsidP="007D0D6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Società estere prive di sede secondaria con rappresentanza stabile in Italia </w:t>
            </w:r>
          </w:p>
        </w:tc>
        <w:tc>
          <w:tcPr>
            <w:tcW w:w="5812" w:type="dxa"/>
          </w:tcPr>
          <w:p w:rsidR="009D1E48" w:rsidRPr="00B74A4A" w:rsidRDefault="009D1E48" w:rsidP="007D0D6F">
            <w:pPr>
              <w:pStyle w:val="Default"/>
              <w:ind w:left="176" w:hanging="176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4A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Coloro che esercitano poteri di amministrazione (presidente del CdA / amministratore delegato, consiglieri), di rappresentanza o di direzione dell’impresa ** </w:t>
            </w:r>
          </w:p>
        </w:tc>
      </w:tr>
    </w:tbl>
    <w:p w:rsidR="009D1E48" w:rsidRPr="00B74A4A" w:rsidRDefault="009D1E48" w:rsidP="009D1E48">
      <w:pPr>
        <w:pStyle w:val="Paragrafoelenco"/>
        <w:jc w:val="both"/>
        <w:rPr>
          <w:rFonts w:ascii="Times New Roman" w:hAnsi="Times New Roman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Ulteriori controlli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: si precisa che i controlli antimafia sono effettuati anche sui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procuratori e sui procuratori speciali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(che, sulla base dei poteri conferitigli, siano legittimati a partecipare alle procedure di affidamento di appalti pubblici di cui al </w:t>
      </w:r>
      <w:proofErr w:type="gramStart"/>
      <w:r w:rsidRPr="00B74A4A">
        <w:rPr>
          <w:rFonts w:ascii="Times New Roman" w:hAnsi="Times New Roman" w:cs="Times New Roman"/>
          <w:color w:val="auto"/>
          <w:sz w:val="16"/>
          <w:szCs w:val="16"/>
        </w:rPr>
        <w:t>D.Lgs</w:t>
      </w:r>
      <w:proofErr w:type="gramEnd"/>
      <w:r w:rsidRPr="00B74A4A">
        <w:rPr>
          <w:rFonts w:ascii="Times New Roman" w:hAnsi="Times New Roman" w:cs="Times New Roman"/>
          <w:color w:val="auto"/>
          <w:sz w:val="16"/>
          <w:szCs w:val="16"/>
        </w:rPr>
        <w:t>. 50/2016, a stipulare i relativi contratti in caso di aggiudicazione per i quali sia richiesta la documentazione antimafia e, comunque, più in generale, i procuratori che esercitano poteri che per la rilevanza sostanziale e lo spessore economico sono tali da impegnare sul piano decisionale e gestorio la società determinandone in qualsiasi modo le scelte o gli indirizzi) nonché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, nei casi contemplati dall’art. art. 2477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c.c.,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al sindaco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, nonché ai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soggetti che svolgono i compiti di vigilanza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di cui all’art. 6, comma 1 , lett. b) del D.Lgs. 8 giugno 2011, n. 231.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componenti del consiglio di amministrazione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si intendono: </w:t>
      </w:r>
      <w:r>
        <w:rPr>
          <w:rFonts w:ascii="Times New Roman" w:hAnsi="Times New Roman" w:cs="Times New Roman"/>
          <w:color w:val="auto"/>
          <w:sz w:val="16"/>
          <w:szCs w:val="16"/>
        </w:rPr>
        <w:t>P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residente del C.d.A., Amministratore Delegato, Consiglieri.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>***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Per </w:t>
      </w:r>
      <w:r>
        <w:rPr>
          <w:rFonts w:ascii="Times New Roman" w:hAnsi="Times New Roman" w:cs="Times New Roman"/>
          <w:b/>
          <w:bCs/>
          <w:color w:val="auto"/>
          <w:sz w:val="16"/>
          <w:szCs w:val="16"/>
        </w:rPr>
        <w:t>S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indaci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>si intendono sia quelli effettivi che supplenti.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Procedimento di rilascio delle </w:t>
      </w:r>
      <w:r w:rsidR="002806D8">
        <w:rPr>
          <w:rFonts w:ascii="Times New Roman" w:hAnsi="Times New Roman" w:cs="Times New Roman"/>
          <w:b/>
          <w:bCs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antimafia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L’Ente Pubblico/Stazione Appaltante dovrà acquisire dalla società interessata la dichiarazione sostitutiva del certificato di iscrizione alla CCIAA redatta dal rappresentante legale della società e contenente tutti i componenti dell’attuale compagine societaria, ai sensi dell’art. 85 del </w:t>
      </w:r>
      <w:proofErr w:type="gramStart"/>
      <w:r w:rsidRPr="00B74A4A">
        <w:rPr>
          <w:rFonts w:ascii="Times New Roman" w:hAnsi="Times New Roman" w:cs="Times New Roman"/>
          <w:color w:val="auto"/>
          <w:sz w:val="16"/>
          <w:szCs w:val="16"/>
        </w:rPr>
        <w:t>D.Lgs</w:t>
      </w:r>
      <w:proofErr w:type="gramEnd"/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. 159/2011.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Successivamente, l’Ente Pubblico/Stazione Appaltante provvederà a trasmettere la richiesta di </w:t>
      </w:r>
      <w:r w:rsidR="002806D8">
        <w:rPr>
          <w:rFonts w:ascii="Times New Roman" w:hAnsi="Times New Roman" w:cs="Times New Roman"/>
          <w:color w:val="auto"/>
          <w:sz w:val="16"/>
          <w:szCs w:val="16"/>
        </w:rPr>
        <w:t>comunicazioni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 antimafia, corredata delle dichiarazioni sostitutive, a questa Prefettura che procederà alle verifiche di cui agli artt. 84 e ss. del </w:t>
      </w:r>
      <w:proofErr w:type="gramStart"/>
      <w:r w:rsidRPr="00B74A4A">
        <w:rPr>
          <w:rFonts w:ascii="Times New Roman" w:hAnsi="Times New Roman" w:cs="Times New Roman"/>
          <w:color w:val="auto"/>
          <w:sz w:val="16"/>
          <w:szCs w:val="16"/>
        </w:rPr>
        <w:t>D.Lgs</w:t>
      </w:r>
      <w:proofErr w:type="gramEnd"/>
      <w:r w:rsidRPr="00B74A4A">
        <w:rPr>
          <w:rFonts w:ascii="Times New Roman" w:hAnsi="Times New Roman" w:cs="Times New Roman"/>
          <w:color w:val="auto"/>
          <w:sz w:val="16"/>
          <w:szCs w:val="16"/>
        </w:rPr>
        <w:t>. n. 159/2011.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>Concetto di “socio di maggioranza”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Per socio di maggioranza si intende “la persona fisica o giuridica che detiene la maggioranza relativa delle quote o azioni della società interessata”.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Nel caso di più soci (es. 3 o 4) con la medesima percentuale di quote o azioni del capitale sociale della società interessata, non è richiesta alcuna documentazione relativa al socio di maggioranza.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lastRenderedPageBreak/>
        <w:t xml:space="preserve">La documentazione dovrà, invece, essere prodotta, tuttavia, nel caso in cui 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due soci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(persone fisiche o giuridiche) della società interessata al rilascio della comunicazione o informazione antimafia siano ciascuno titolari di quote o azioni pari al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 capitale sociale o nel caso in cui uno dei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tre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soci sia titolare del </w:t>
      </w:r>
      <w:r w:rsidRPr="00B74A4A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50% </w:t>
      </w: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delle quote o azioni. </w:t>
      </w:r>
    </w:p>
    <w:p w:rsidR="009D1E48" w:rsidRPr="00B74A4A" w:rsidRDefault="009D1E48" w:rsidP="009D1E4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B74A4A">
        <w:rPr>
          <w:rFonts w:ascii="Times New Roman" w:hAnsi="Times New Roman" w:cs="Times New Roman"/>
          <w:color w:val="auto"/>
          <w:sz w:val="16"/>
          <w:szCs w:val="16"/>
        </w:rPr>
        <w:t xml:space="preserve">Ciò in coerenza con l’art. 91, comma 5 del </w:t>
      </w:r>
      <w:proofErr w:type="gramStart"/>
      <w:r w:rsidRPr="00B74A4A">
        <w:rPr>
          <w:rFonts w:ascii="Times New Roman" w:hAnsi="Times New Roman" w:cs="Times New Roman"/>
          <w:color w:val="auto"/>
          <w:sz w:val="16"/>
          <w:szCs w:val="16"/>
        </w:rPr>
        <w:t>D.Lgs</w:t>
      </w:r>
      <w:proofErr w:type="gramEnd"/>
      <w:r w:rsidRPr="00B74A4A">
        <w:rPr>
          <w:rFonts w:ascii="Times New Roman" w:hAnsi="Times New Roman" w:cs="Times New Roman"/>
          <w:color w:val="auto"/>
          <w:sz w:val="16"/>
          <w:szCs w:val="16"/>
        </w:rPr>
        <w:t>. 159/2011, la sentenza n. 4654 del 28/08/2012 del Consiglio di Stato Sez. V e la sentenza n. 24 del 06/11/2013 del Consiglio di Stato Adunanza Plenaria.</w:t>
      </w:r>
    </w:p>
    <w:sectPr w:rsidR="009D1E48" w:rsidRPr="00B74A4A" w:rsidSect="00974460"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865" w:rsidRDefault="00712865" w:rsidP="00081091">
      <w:r>
        <w:separator/>
      </w:r>
    </w:p>
  </w:endnote>
  <w:endnote w:type="continuationSeparator" w:id="0">
    <w:p w:rsidR="00712865" w:rsidRDefault="00712865" w:rsidP="0008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865" w:rsidRDefault="00712865" w:rsidP="00081091">
      <w:r>
        <w:separator/>
      </w:r>
    </w:p>
  </w:footnote>
  <w:footnote w:type="continuationSeparator" w:id="0">
    <w:p w:rsidR="00712865" w:rsidRDefault="00712865" w:rsidP="00081091">
      <w:r>
        <w:continuationSeparator/>
      </w:r>
    </w:p>
  </w:footnote>
  <w:footnote w:id="1">
    <w:p w:rsidR="00E12C74" w:rsidRPr="007A64E9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A64E9">
        <w:rPr>
          <w:rFonts w:ascii="Times New Roman" w:hAnsi="Times New Roman"/>
          <w:sz w:val="18"/>
          <w:szCs w:val="18"/>
        </w:rPr>
        <w:t>Nell’elenco ricomprendere anche il dichiarante.</w:t>
      </w:r>
    </w:p>
  </w:footnote>
  <w:footnote w:id="2">
    <w:p w:rsidR="00E12C74" w:rsidRPr="007A64E9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 w:rsidRPr="007A64E9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7A64E9">
        <w:rPr>
          <w:rFonts w:ascii="Times New Roman" w:hAnsi="Times New Roman"/>
          <w:sz w:val="18"/>
          <w:szCs w:val="18"/>
        </w:rPr>
        <w:t xml:space="preserve"> Vedi tabella allegata</w:t>
      </w:r>
    </w:p>
  </w:footnote>
  <w:footnote w:id="3">
    <w:p w:rsidR="00E12C74" w:rsidRDefault="00E12C74">
      <w:pPr>
        <w:pStyle w:val="Testonotaapidipagina"/>
        <w:rPr>
          <w:rFonts w:ascii="Times New Roman" w:hAnsi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7A64E9" w:rsidRPr="007A64E9">
        <w:rPr>
          <w:rFonts w:ascii="Times New Roman" w:hAnsi="Times New Roman"/>
          <w:sz w:val="18"/>
          <w:szCs w:val="18"/>
        </w:rPr>
        <w:t xml:space="preserve">L’informativa generale privacy è pubblicata nella sezione “Privacy” del sito </w:t>
      </w:r>
      <w:proofErr w:type="gramStart"/>
      <w:r w:rsidR="007A64E9" w:rsidRPr="007A64E9">
        <w:rPr>
          <w:rFonts w:ascii="Times New Roman" w:hAnsi="Times New Roman"/>
          <w:sz w:val="18"/>
          <w:szCs w:val="18"/>
        </w:rPr>
        <w:t>www.regione.veneto.it ,</w:t>
      </w:r>
      <w:proofErr w:type="gramEnd"/>
      <w:r w:rsidR="007A64E9" w:rsidRPr="007A64E9">
        <w:rPr>
          <w:rFonts w:ascii="Times New Roman" w:hAnsi="Times New Roman"/>
          <w:sz w:val="18"/>
          <w:szCs w:val="18"/>
        </w:rPr>
        <w:t xml:space="preserve"> accessibile dal link in calce alla home page</w:t>
      </w:r>
    </w:p>
    <w:p w:rsidR="009D1E48" w:rsidRPr="007A64E9" w:rsidRDefault="009D1E48">
      <w:pPr>
        <w:pStyle w:val="Testonotaapidipagina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3A"/>
    <w:multiLevelType w:val="hybridMultilevel"/>
    <w:tmpl w:val="343A1D2E"/>
    <w:lvl w:ilvl="0" w:tplc="AC36FE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2B5202"/>
    <w:multiLevelType w:val="hybridMultilevel"/>
    <w:tmpl w:val="59686660"/>
    <w:lvl w:ilvl="0" w:tplc="CA6417D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NP6Um3OaAAr+eMTwdgY3LmnLFmh1Sm1K1tLovdRjvvhIqAIQH9aEXWiAhKHRPnwvixehqTjRxCRGBShot10n+Q==" w:salt="s/KZSUhfHxhZMfg6OxO3cQ==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091"/>
    <w:rsid w:val="00013AD6"/>
    <w:rsid w:val="00055080"/>
    <w:rsid w:val="00076D9C"/>
    <w:rsid w:val="00081091"/>
    <w:rsid w:val="001964A8"/>
    <w:rsid w:val="002806D8"/>
    <w:rsid w:val="002C386E"/>
    <w:rsid w:val="003547BA"/>
    <w:rsid w:val="003952E2"/>
    <w:rsid w:val="003C3C37"/>
    <w:rsid w:val="00437F7D"/>
    <w:rsid w:val="00464CB6"/>
    <w:rsid w:val="004827AE"/>
    <w:rsid w:val="00500B4C"/>
    <w:rsid w:val="0051622F"/>
    <w:rsid w:val="005D2E6B"/>
    <w:rsid w:val="00651230"/>
    <w:rsid w:val="00680905"/>
    <w:rsid w:val="006C31FC"/>
    <w:rsid w:val="00712865"/>
    <w:rsid w:val="0072448A"/>
    <w:rsid w:val="007A64E9"/>
    <w:rsid w:val="007D641B"/>
    <w:rsid w:val="00826B62"/>
    <w:rsid w:val="00854FC9"/>
    <w:rsid w:val="00865522"/>
    <w:rsid w:val="00867327"/>
    <w:rsid w:val="00897E61"/>
    <w:rsid w:val="008F7D89"/>
    <w:rsid w:val="00936627"/>
    <w:rsid w:val="00974460"/>
    <w:rsid w:val="009D1E48"/>
    <w:rsid w:val="00A07DEF"/>
    <w:rsid w:val="00A51C9A"/>
    <w:rsid w:val="00AB0FEE"/>
    <w:rsid w:val="00B14D7D"/>
    <w:rsid w:val="00B21C26"/>
    <w:rsid w:val="00B274CE"/>
    <w:rsid w:val="00B375F8"/>
    <w:rsid w:val="00B46204"/>
    <w:rsid w:val="00B730FC"/>
    <w:rsid w:val="00BB27A8"/>
    <w:rsid w:val="00C105E6"/>
    <w:rsid w:val="00C25B1A"/>
    <w:rsid w:val="00C324C8"/>
    <w:rsid w:val="00C471B3"/>
    <w:rsid w:val="00CA6C08"/>
    <w:rsid w:val="00CB6C4E"/>
    <w:rsid w:val="00CD54F2"/>
    <w:rsid w:val="00CE43BA"/>
    <w:rsid w:val="00D12F53"/>
    <w:rsid w:val="00D15AED"/>
    <w:rsid w:val="00D67CEB"/>
    <w:rsid w:val="00D954FD"/>
    <w:rsid w:val="00DC4679"/>
    <w:rsid w:val="00DD35B7"/>
    <w:rsid w:val="00DE06F7"/>
    <w:rsid w:val="00E12C74"/>
    <w:rsid w:val="00E27E6A"/>
    <w:rsid w:val="00EC4E04"/>
    <w:rsid w:val="00EE76EA"/>
    <w:rsid w:val="00F33D43"/>
    <w:rsid w:val="00F545BC"/>
    <w:rsid w:val="00F87260"/>
    <w:rsid w:val="00F9699D"/>
    <w:rsid w:val="00FE4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D25C"/>
  <w15:docId w15:val="{93CD08C9-0B5C-48B4-918D-50912869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091"/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CA6C08"/>
    <w:rPr>
      <w:b/>
      <w:bCs/>
    </w:rPr>
  </w:style>
  <w:style w:type="paragraph" w:styleId="Corpotesto">
    <w:name w:val="Body Text"/>
    <w:basedOn w:val="Normale"/>
    <w:link w:val="CorpotestoCarattere"/>
    <w:uiPriority w:val="99"/>
    <w:rsid w:val="00081091"/>
    <w:pPr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81091"/>
    <w:rPr>
      <w:rFonts w:ascii="Arial" w:hAnsi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8109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81091"/>
    <w:rPr>
      <w:rFonts w:ascii="Calibri" w:eastAsia="Calibri" w:hAnsi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81091"/>
    <w:rPr>
      <w:vertAlign w:val="superscript"/>
    </w:rPr>
  </w:style>
  <w:style w:type="character" w:styleId="Collegamentoipertestuale">
    <w:name w:val="Hyperlink"/>
    <w:uiPriority w:val="99"/>
    <w:unhideWhenUsed/>
    <w:rsid w:val="00081091"/>
    <w:rPr>
      <w:color w:val="0000FF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8109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81091"/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081091"/>
    <w:pPr>
      <w:ind w:left="720"/>
      <w:contextualSpacing/>
    </w:pPr>
  </w:style>
  <w:style w:type="paragraph" w:customStyle="1" w:styleId="Default">
    <w:name w:val="Default"/>
    <w:rsid w:val="009D1E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3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4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03A4-7B88-4184-8CDC-4442C698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Sandro Perini</cp:lastModifiedBy>
  <cp:revision>7</cp:revision>
  <cp:lastPrinted>2022-05-05T08:30:00Z</cp:lastPrinted>
  <dcterms:created xsi:type="dcterms:W3CDTF">2022-04-29T12:15:00Z</dcterms:created>
  <dcterms:modified xsi:type="dcterms:W3CDTF">2022-05-05T08:45:00Z</dcterms:modified>
</cp:coreProperties>
</file>