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47" w:rsidRPr="00500C4F" w:rsidRDefault="00934F79" w:rsidP="00500C4F">
      <w:pPr>
        <w:jc w:val="center"/>
        <w:rPr>
          <w:sz w:val="28"/>
          <w:szCs w:val="28"/>
        </w:rPr>
      </w:pPr>
      <w:r w:rsidRPr="00500C4F">
        <w:rPr>
          <w:sz w:val="28"/>
          <w:szCs w:val="28"/>
        </w:rPr>
        <w:t>Indicazioni particolari</w:t>
      </w:r>
    </w:p>
    <w:p w:rsidR="00934F79" w:rsidRDefault="00934F79"/>
    <w:p w:rsidR="00934F79" w:rsidRDefault="00934F79" w:rsidP="00500C4F">
      <w:pPr>
        <w:spacing w:line="360" w:lineRule="auto"/>
        <w:jc w:val="both"/>
      </w:pPr>
      <w:r>
        <w:t>A seguito della pubblicazione del bando e delle richieste di informazioni pervenute alla Direzione Ambiente, appare opportuno fornire qualche ulteriore indicazione sulle modalità di presentazione della domanda:</w:t>
      </w:r>
    </w:p>
    <w:p w:rsidR="00934F79" w:rsidRDefault="00934F79" w:rsidP="00500C4F">
      <w:pPr>
        <w:pStyle w:val="Paragrafoelenco"/>
        <w:numPr>
          <w:ilvl w:val="0"/>
          <w:numId w:val="1"/>
        </w:numPr>
        <w:spacing w:line="360" w:lineRule="auto"/>
        <w:jc w:val="both"/>
      </w:pPr>
      <w:r>
        <w:t xml:space="preserve">Dalla descrizione dell’intervento si deve chiaramente capire che ci si riferisce </w:t>
      </w:r>
      <w:r w:rsidR="008E125B">
        <w:t xml:space="preserve">esclusivamente </w:t>
      </w:r>
      <w:r>
        <w:t>alla operazione di rimozione e smaltimento di materiale contenente amianto, non al rifacimento</w:t>
      </w:r>
      <w:r w:rsidR="008E125B">
        <w:t xml:space="preserve"> e/o </w:t>
      </w:r>
      <w:proofErr w:type="gramStart"/>
      <w:r w:rsidR="008E125B">
        <w:t xml:space="preserve">ripristino </w:t>
      </w:r>
      <w:r>
        <w:t xml:space="preserve"> della</w:t>
      </w:r>
      <w:proofErr w:type="gramEnd"/>
      <w:r>
        <w:t xml:space="preserve"> struttura;</w:t>
      </w:r>
    </w:p>
    <w:p w:rsidR="00500C4F" w:rsidRDefault="00500C4F" w:rsidP="00500C4F">
      <w:pPr>
        <w:pStyle w:val="Paragrafoelenco"/>
        <w:spacing w:line="360" w:lineRule="auto"/>
        <w:jc w:val="both"/>
      </w:pPr>
    </w:p>
    <w:p w:rsidR="00934F79" w:rsidRDefault="00934F79" w:rsidP="00500C4F">
      <w:pPr>
        <w:pStyle w:val="Paragrafoelenco"/>
        <w:numPr>
          <w:ilvl w:val="0"/>
          <w:numId w:val="1"/>
        </w:numPr>
        <w:spacing w:line="360" w:lineRule="auto"/>
        <w:jc w:val="both"/>
      </w:pPr>
      <w:r>
        <w:t xml:space="preserve"> Il CUP deve comunque essere inserito</w:t>
      </w:r>
      <w:r w:rsidR="00500C4F">
        <w:t>. Può riferirsi al solo intervento di rimozione e smaltimento oppure può riferirsi</w:t>
      </w:r>
      <w:r>
        <w:t xml:space="preserve"> al complessivo intervento che prevede anche il rifacimento della struttura interessata dalla rimozione del materiale contenente amianto;</w:t>
      </w:r>
    </w:p>
    <w:p w:rsidR="00500C4F" w:rsidRDefault="00500C4F" w:rsidP="00500C4F">
      <w:pPr>
        <w:pStyle w:val="Paragrafoelenco"/>
        <w:spacing w:line="360" w:lineRule="auto"/>
        <w:jc w:val="both"/>
      </w:pPr>
    </w:p>
    <w:p w:rsidR="00934F79" w:rsidRDefault="00934F79" w:rsidP="00500C4F">
      <w:pPr>
        <w:pStyle w:val="Paragrafoelenco"/>
        <w:numPr>
          <w:ilvl w:val="0"/>
          <w:numId w:val="1"/>
        </w:numPr>
        <w:spacing w:line="360" w:lineRule="auto"/>
        <w:jc w:val="both"/>
      </w:pPr>
      <w:r>
        <w:t xml:space="preserve">Nel cronoprogramma finanziario si indica solo la previsione di spesa relativa a </w:t>
      </w:r>
      <w:r w:rsidR="00500C4F">
        <w:t>rimozione</w:t>
      </w:r>
      <w:r>
        <w:t>/smaltimento/perizie;</w:t>
      </w:r>
    </w:p>
    <w:p w:rsidR="00500C4F" w:rsidRDefault="00500C4F" w:rsidP="00500C4F">
      <w:pPr>
        <w:pStyle w:val="Paragrafoelenco"/>
        <w:spacing w:line="360" w:lineRule="auto"/>
        <w:jc w:val="both"/>
      </w:pPr>
    </w:p>
    <w:p w:rsidR="00934F79" w:rsidRDefault="00500C4F" w:rsidP="00500C4F">
      <w:pPr>
        <w:pStyle w:val="Paragrafoelenco"/>
        <w:numPr>
          <w:ilvl w:val="0"/>
          <w:numId w:val="1"/>
        </w:numPr>
        <w:spacing w:line="360" w:lineRule="auto"/>
        <w:jc w:val="both"/>
      </w:pPr>
      <w:r>
        <w:t>Il cronoprogramma finanziario deve essere compilato completamente</w:t>
      </w:r>
      <w:r w:rsidR="008E125B">
        <w:t xml:space="preserve"> inserendo almeno la fase di stipula ed esecuzione lavori</w:t>
      </w:r>
      <w:r>
        <w:t>;</w:t>
      </w:r>
    </w:p>
    <w:p w:rsidR="00500C4F" w:rsidRDefault="00500C4F" w:rsidP="00500C4F">
      <w:pPr>
        <w:pStyle w:val="Paragrafoelenco"/>
        <w:spacing w:line="360" w:lineRule="auto"/>
        <w:jc w:val="both"/>
      </w:pPr>
    </w:p>
    <w:p w:rsidR="00934F79" w:rsidRDefault="00500C4F" w:rsidP="00500C4F">
      <w:pPr>
        <w:pStyle w:val="Paragrafoelenco"/>
        <w:numPr>
          <w:ilvl w:val="0"/>
          <w:numId w:val="1"/>
        </w:numPr>
        <w:spacing w:line="360" w:lineRule="auto"/>
        <w:jc w:val="both"/>
      </w:pPr>
      <w:r>
        <w:t>L’indicatore di realizzazione deve essere espresso in mq e non in altre unità di misura;</w:t>
      </w:r>
    </w:p>
    <w:p w:rsidR="00500C4F" w:rsidRDefault="00500C4F" w:rsidP="00500C4F">
      <w:pPr>
        <w:pStyle w:val="Paragrafoelenco"/>
      </w:pPr>
    </w:p>
    <w:p w:rsidR="00500C4F" w:rsidRDefault="00500C4F" w:rsidP="00500C4F">
      <w:pPr>
        <w:pStyle w:val="Paragrafoelenco"/>
      </w:pPr>
    </w:p>
    <w:p w:rsidR="00500C4F" w:rsidRDefault="00500C4F" w:rsidP="00500C4F">
      <w:pPr>
        <w:pStyle w:val="Paragrafoelenco"/>
        <w:numPr>
          <w:ilvl w:val="0"/>
          <w:numId w:val="1"/>
        </w:numPr>
        <w:spacing w:line="360" w:lineRule="auto"/>
        <w:jc w:val="both"/>
      </w:pPr>
      <w:r>
        <w:t>Si rammenta che il termine per previsto per il perfezionamento delle obbligazioni giuridicamente vincolanti (OGV) scade il 31 luglio 2021, termine eventualmente prorogabile, su espressa richiesta, fino al termine massimo del 31 dicembre 2021.</w:t>
      </w:r>
    </w:p>
    <w:p w:rsidR="00934F79" w:rsidRDefault="00934F79" w:rsidP="008E125B">
      <w:pPr>
        <w:spacing w:line="360" w:lineRule="auto"/>
        <w:jc w:val="both"/>
      </w:pPr>
      <w:bookmarkStart w:id="0" w:name="_GoBack"/>
      <w:bookmarkEnd w:id="0"/>
      <w:r>
        <w:t xml:space="preserve"> </w:t>
      </w:r>
    </w:p>
    <w:sectPr w:rsidR="00934F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F2468"/>
    <w:multiLevelType w:val="hybridMultilevel"/>
    <w:tmpl w:val="DE04F92A"/>
    <w:lvl w:ilvl="0" w:tplc="A5229BE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205"/>
    <w:rsid w:val="00500C4F"/>
    <w:rsid w:val="008E125B"/>
    <w:rsid w:val="00934F79"/>
    <w:rsid w:val="00B37747"/>
    <w:rsid w:val="00D422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258FB"/>
  <w15:chartTrackingRefBased/>
  <w15:docId w15:val="{63F5821A-44FD-4C8A-862C-96168F3A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192</Words>
  <Characters>1100</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Dal Maso</dc:creator>
  <cp:keywords/>
  <dc:description/>
  <cp:lastModifiedBy>Dino Dal Maso</cp:lastModifiedBy>
  <cp:revision>3</cp:revision>
  <cp:lastPrinted>2020-11-27T09:55:00Z</cp:lastPrinted>
  <dcterms:created xsi:type="dcterms:W3CDTF">2020-11-27T09:38:00Z</dcterms:created>
  <dcterms:modified xsi:type="dcterms:W3CDTF">2020-12-01T11:35:00Z</dcterms:modified>
</cp:coreProperties>
</file>